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MilchQuotV — Übertragungsbescheinigungen bei Beendigung von Pachtverträgen</w:t>
      </w:r>
    </w:p>
    <w:p>
      <w:r>
        <w:rPr>
          <w:color w:val="555555"/>
          <w:sz w:val="18"/>
        </w:rPr>
        <w:t xml:space="preserve">Milchquotenverordnung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Übertragungen nach den §§ 48 bis 51 werden durch eine Übertragungsbescheinigung bescheinigt. Soweit die §§ 48 bis 51 nichts anderes bestimmen, gelten die §§ 27 bis 29 Absatz 1 entsprechend.</w:t>
      </w:r>
    </w:p>
    <w:p>
      <w:r>
        <w:rPr>
          <w:color w:val="555555"/>
          <w:sz w:val="17"/>
        </w:rPr>
        <w:t xml:space="preserve">Zitiervorschlag: § 52 MilchQuotV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https://recht.nulegal.eu/gesetze/MilchQuotV/52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