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MilchQuotV — Übertragung übernommener Quoten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Übt der Pächter sein Übernahmerecht aus, darf er innerhalb eines Kalenderjahres nach der Übernahme keine Quote auf einen Dritten übertragen. § 22 Absatz 3 Satz 2 bis 6 gilt entsprechend, wobei die Summe der Einziehungen auf 33 vom Hundert der übernommenen Quote begrenzt ist. In Ergänzung zu § 22 Absatz 3 Satz 6 ist eine Einziehung ebenfalls nicht vorzunehmen, wenn eine Übertragung im Sinne des § 23 Absatz 1 vorliegt und auf Grund der Übertragung eine Pflicht nach § 23 Absatz 2 besteht.</w:t>
      </w:r>
    </w:p>
    <w:p>
      <w:r>
        <w:t xml:space="preserve">(2) In Fällen besonderer Härte kann von einer Einziehung ganz oder teilweise abgesehen werden.</w:t>
      </w:r>
    </w:p>
    <w:p>
      <w:r>
        <w:rPr>
          <w:color w:val="555555"/>
          <w:sz w:val="17"/>
        </w:rPr>
        <w:t xml:space="preserve">Zitiervorschlag: § 50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