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MilchQuotV — Mitteilungen der Länder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teilen der vom Bundesministerium der Finanzen bekannt zu gebenden Stelle innerhalb von zwei Monaten nach Ablauf jedes Zwölfmonatszeitraums Folgendes mit:</w:t>
      </w:r>
    </w:p>
    <w:p>
      <w:pPr>
        <w:ind w:left="420"/>
      </w:pPr>
      <w:r>
        <w:t xml:space="preserve">1. die Höhe der in dem betreffenden Zwölfmonatszeitraum</w:t>
      </w:r>
    </w:p>
    <w:p>
      <w:pPr>
        <w:ind w:left="780"/>
      </w:pPr>
      <w:r>
        <w:t xml:space="preserve">a) übertragenen Quoten, getrennt aufgeführt nach Anlieferungs- und Direktverkaufsquoten und den Vorschriften über die Übertragung,</w:t>
      </w:r>
    </w:p>
    <w:p>
      <w:pPr>
        <w:ind w:left="780"/>
      </w:pPr>
      <w:r>
        <w:t xml:space="preserve">b) eingezogenen Quoten, getrennt aufgeführt nach Anlieferungs- und Direktverkaufsquoten und den Vorschriften über die Einziehung,</w:t>
      </w:r>
    </w:p>
    <w:p>
      <w:pPr>
        <w:ind w:left="780"/>
      </w:pPr>
      <w:r>
        <w:t xml:space="preserve">c) zugeteilten Anlieferungsquoten, getrennt aufgeführt nach den Vorschriften über die Zuteilung,</w:t>
      </w:r>
    </w:p>
    <w:p>
      <w:pPr>
        <w:ind w:left="420"/>
      </w:pPr>
      <w:r>
        <w:t xml:space="preserve">2. die Höhe der zum Ablauf des Zwölfmonatszeitraums vorhandenen Landesreserven.</w:t>
      </w:r>
    </w:p>
    <w:p>
      <w:r>
        <w:rPr>
          <w:color w:val="555555"/>
          <w:sz w:val="17"/>
        </w:rPr>
        <w:t xml:space="preserve">Zitiervorschlag: § 46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