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MilchQuotV — Äquivalenzmengen für Käse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von Direktverkäufen werden die Äquivalenzmengen je Kilogramm Käse wie folgt festgesetzt:</w:t>
      </w:r>
    </w:p>
    <w:p>
      <w:r>
        <w:rPr>
          <w:rFonts w:ascii="Courier New" w:hAnsi="Courier New"/>
          <w:sz w:val="17"/>
        </w:rPr>
        <w:t xml:space="preserve">Hartkäse        12,20 kg</w:t>
      </w:r>
    </w:p>
    <w:p>
      <w:r>
        <w:rPr>
          <w:rFonts w:ascii="Courier New" w:hAnsi="Courier New"/>
          <w:sz w:val="17"/>
        </w:rPr>
        <w:t xml:space="preserve">Schnittkäse    bis 40 % Fett i. Tr.    12,30 kg</w:t>
      </w:r>
    </w:p>
    <w:p>
      <w:r>
        <w:rPr>
          <w:rFonts w:ascii="Courier New" w:hAnsi="Courier New"/>
          <w:sz w:val="17"/>
        </w:rPr>
        <w:t xml:space="preserve">Schnittkäse    ab 45 % Fett i. Tr.    10,60 kg</w:t>
      </w:r>
    </w:p>
    <w:p>
      <w:r>
        <w:rPr>
          <w:rFonts w:ascii="Courier New" w:hAnsi="Courier New"/>
          <w:sz w:val="17"/>
        </w:rPr>
        <w:t xml:space="preserve">Halbfester Schnittkäse    bis 45 % Fett i. Tr.    8,90 kg</w:t>
      </w:r>
    </w:p>
    <w:p>
      <w:r>
        <w:rPr>
          <w:rFonts w:ascii="Courier New" w:hAnsi="Courier New"/>
          <w:sz w:val="17"/>
        </w:rPr>
        <w:t xml:space="preserve">Halbfester Schnittkäse    ab 50 % Fett i. Tr.    8,40 kg</w:t>
      </w:r>
    </w:p>
    <w:p>
      <w:r>
        <w:rPr>
          <w:rFonts w:ascii="Courier New" w:hAnsi="Courier New"/>
          <w:sz w:val="17"/>
        </w:rPr>
        <w:t xml:space="preserve">Weichkäse    bis 45 % Fett i. Tr.    8,80 kg</w:t>
      </w:r>
    </w:p>
    <w:p>
      <w:r>
        <w:rPr>
          <w:rFonts w:ascii="Courier New" w:hAnsi="Courier New"/>
          <w:sz w:val="17"/>
        </w:rPr>
        <w:t xml:space="preserve">Weichkäse    ab 50 % Fett i. Tr.    7,70 kg</w:t>
      </w:r>
    </w:p>
    <w:p>
      <w:r>
        <w:rPr>
          <w:rFonts w:ascii="Courier New" w:hAnsi="Courier New"/>
          <w:sz w:val="17"/>
        </w:rPr>
        <w:t xml:space="preserve">Frischkäse    bis 10 % Fett i. Tr.    5,60 kg</w:t>
      </w:r>
    </w:p>
    <w:p>
      <w:r>
        <w:rPr>
          <w:rFonts w:ascii="Courier New" w:hAnsi="Courier New"/>
          <w:sz w:val="17"/>
        </w:rPr>
        <w:t xml:space="preserve">Frischkäse    ab 20 % Fett i. Tr.    4,40 kg.</w:t>
      </w:r>
    </w:p>
    <w:p>
      <w:r>
        <w:t xml:space="preserve">(2) Für die Rahmmengen, die bei der Käseherstellung zusätzlich anfallen, erfolgt keine erneute Äquivalenzmengenberechnung.</w:t>
      </w:r>
    </w:p>
    <w:p>
      <w:r>
        <w:rPr>
          <w:color w:val="555555"/>
          <w:sz w:val="17"/>
        </w:rPr>
        <w:t xml:space="preserve">Zitiervorschlag: § 43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