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MilchQuotV — Kürzung von Quoten und Referenzfettgehalten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die Bundesrepublik Deutschland die ihr nach der EU-Milchquotenregelung zugewiesene einzelstaatliche Anlieferungsquote überschreitet, sind alle einzelbetrieblichen Anlieferungsquoten nach Maßgabe des Absatzes 3 linear gekürzt. Satz 1 gilt für Direktverkaufsquoten entsprechend.</w:t>
      </w:r>
    </w:p>
    <w:p>
      <w:r>
        <w:t xml:space="preserve">(2) Soweit der gewogene Durchschnitt der einzelbetrieblichen Referenzfettgehalte den nach der EU-Milchquotenregelung der Bundesrepublik Deutschland zugewiesenen einzelstaatlichen Referenzfettgehalt überschreitet, sind alle einzelbetrieblichen Referenzfettgehalte nach Maßgabe des Absatzes 3 linear gekürzt.</w:t>
      </w:r>
    </w:p>
    <w:p>
      <w:r>
        <w:t xml:space="preserve">(3) Den sich aus der EU-Milchquotenregelung für die Zwecke des Absatzes 1 oder 2 ergebenden Kürzungssatz macht das Bundesministerium im Bundesanzeiger bekannt. Die jeweilige Kürzung wird ab dem Zwölfmonatszeitraum, der auf den Zwölfmonatszeitraum folgt, in dem die Überschreitung eingetreten ist, wirksam und ist vor dem 1. August des Zwölfmonatszeitraums, in dem sie wirksam wird, in Form einer Neuberechnung nach § 35 sämtlichen von der Kürzung betroffenen Inhabern von Quoten mitzuteilen.</w:t>
      </w:r>
    </w:p>
    <w:p>
      <w:r>
        <w:rPr>
          <w:color w:val="555555"/>
          <w:sz w:val="17"/>
        </w:rPr>
        <w:t xml:space="preserve">Zitiervorschlag: § 31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