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MilchQuotV — Betriebssitz</w:t>
      </w:r>
    </w:p>
    <w:p>
      <w:r>
        <w:rPr>
          <w:color w:val="555555"/>
          <w:sz w:val="18"/>
        </w:rPr>
        <w:t xml:space="preserve">Milchquotenverordnung</w:t>
      </w:r>
    </w:p>
    <w:p>
      <w:r>
        <w:rPr>
          <w:color w:val="555555"/>
          <w:sz w:val="18"/>
        </w:rPr>
        <w:t xml:space="preserve">Stand: 10.06.2019 (konsolidierte Textfassung, kein amtliches Inkrafttretensdatum)</w:t>
      </w:r>
    </w:p>
    <w:p>
      <w:r>
        <w:t xml:space="preserve">(1) Als Betriebssitz im Sinne dieser Verordnung gilt für die in § 2 Absatz 2 genannten Personen der Ort, an dem die Milchkühe gehalten werden und die sächlichen Produktionsmittel vorhanden sind (Produktionsstätte). Hat ein Milcherzeuger mehr als eine Produktionsstätte, ist der Betriebssitz der Ort, an dem sich der betriebliche Schwerpunkt der Milcherzeugung befindet.</w:t>
      </w:r>
    </w:p>
    <w:p>
      <w:r>
        <w:t xml:space="preserve">(2) Wird der Betriebssitz in einen anderen Übertragungsbereich im Sinne des § 15 Absatz 2 verlagert, ist die Verlagerung unter Angabe des neuen Betriebssitzes innerhalb von einem Monat nach der Verlagerung derjenigen Landesstelle, die in Bezug auf den vormaligen Betriebssitz für besondere Übertragungen (§§ 21 bis 30) zuständig war, anzuzeigen.</w:t>
      </w:r>
    </w:p>
    <w:p>
      <w:r>
        <w:rPr>
          <w:color w:val="555555"/>
          <w:sz w:val="17"/>
        </w:rPr>
        <w:t xml:space="preserve">Zitiervorschlag: § 3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