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MilchQuotV — Inhalt der Übertragungsbescheinigung</w:t>
      </w:r>
    </w:p>
    <w:p>
      <w:r>
        <w:rPr>
          <w:color w:val="555555"/>
          <w:sz w:val="18"/>
        </w:rPr>
        <w:t xml:space="preserve">Milchquotenverordnung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Übertragungsbescheinigung nach § 27 enthält</w:t>
      </w:r>
    </w:p>
    <w:p>
      <w:pPr>
        <w:ind w:left="420"/>
      </w:pPr>
      <w:r>
        <w:t xml:space="preserve">1. Name und Anschrift des Übertragenden und des Übernehmers sowie deren Betriebsnummern,</w:t>
      </w:r>
    </w:p>
    <w:p>
      <w:pPr>
        <w:ind w:left="420"/>
      </w:pPr>
      <w:r>
        <w:t xml:space="preserve">2. die Höhe der übertragenen Quote und bei Anlieferungsquoten deren Referenzfettgehalt,</w:t>
      </w:r>
    </w:p>
    <w:p>
      <w:pPr>
        <w:ind w:left="420"/>
      </w:pPr>
      <w:r>
        <w:t xml:space="preserve">3. die Art und den Zeitpunkt der Übertragung einschließlich einer Bezugnahme auf die zugrunde liegenden Schriftstücke,</w:t>
      </w:r>
    </w:p>
    <w:p>
      <w:pPr>
        <w:ind w:left="420"/>
      </w:pPr>
      <w:r>
        <w:t xml:space="preserve">4. den Zeitpunkt des Wirksamwerdens der Übertragung und</w:t>
      </w:r>
    </w:p>
    <w:p>
      <w:pPr>
        <w:ind w:left="420"/>
      </w:pPr>
      <w:r>
        <w:t xml:space="preserve">5. den Hinweis auf Verfügungsbeschränkungen, Nutzungsbeschränkungen und Handlungspflichten, die nach dieser Verordnung mit der Übertragung verbunden sind.</w:t>
      </w:r>
    </w:p>
    <w:p>
      <w:r>
        <w:t xml:space="preserve">(2) Die zuständige Landesstelle kann soweit erforderlich weitere Angaben in die Übertragungsbescheinigung aufnehmen.</w:t>
      </w:r>
    </w:p>
    <w:p>
      <w:r>
        <w:rPr>
          <w:color w:val="555555"/>
          <w:sz w:val="17"/>
        </w:rPr>
        <w:t xml:space="preserve">Zitiervorschlag: § 28 MilchQuotV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https://recht.nulegal.eu/gesetze/MilchQuotV/28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