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MilchQuotV — Erbfolge, Verwandte und Ehegatten</w:t>
      </w:r>
    </w:p>
    <w:p>
      <w:r>
        <w:rPr>
          <w:color w:val="555555"/>
          <w:sz w:val="18"/>
        </w:rPr>
        <w:t xml:space="preserve">Milchquotenverordnung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Quoten können im Wege gesetzlicher oder gewillkürter Erbfolge oder bei der Übergabe eines Betriebes im Wege der vorweggenommenen Erbfolge übertragen werden. Im Falle einer gesetzlichen oder gewillkürten Erbfolge findet § 8 Absatz 3 keine Anwendung. Im Falle einer vorweggenommenen Erbfolge hindern rechtlich zulässige Vorbehalte die Dauerhaftigkeit der Übertragung nicht.</w:t>
      </w:r>
    </w:p>
    <w:p>
      <w:r>
        <w:t xml:space="preserve">(2) Eine Quote kann zwischen Verwandten in gerader Linie, Ehegatten oder eingetragenen Lebenspartnern übertragen werden.</w:t>
      </w:r>
    </w:p>
    <w:p>
      <w:r>
        <w:rPr>
          <w:color w:val="555555"/>
          <w:sz w:val="17"/>
        </w:rPr>
        <w:t xml:space="preserve">Zitiervorschlag: § 21 MilchQuotV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https://recht.nulegal.eu/gesetze/MilchQuotV/21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