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MilchPQV — Übergangsbestimmungen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Ein Milchprodukt, das</w:t>
      </w:r>
    </w:p>
    <w:p>
      <w:pPr>
        <w:ind w:left="420"/>
      </w:pPr>
      <w:r>
        <w:t xml:space="preserve">1. den Bestimmungen der Verordnung über die Kennzeichnung wärmebehandelter Konsummilch, der Butterverordnung, der Käseverordnung oder der Milcherzeugnisverordnung in der jeweils am 13. Juni 2026 geltenden Fassung entspricht,</w:t>
      </w:r>
    </w:p>
    <w:p>
      <w:pPr>
        <w:ind w:left="420"/>
      </w:pPr>
      <w:r>
        <w:t xml:space="preserve">2. die Bestimmungen dieser Verordnung nicht erfüllt und</w:t>
      </w:r>
    </w:p>
    <w:p>
      <w:pPr>
        <w:ind w:left="420"/>
      </w:pPr>
      <w:r>
        <w:t xml:space="preserve">3. vor dem 14. Juni 2026 gemäß den Bestimmungen der in Nummer 1 genannten Verordnungen gekennzeichnet worden ist,</w:t>
      </w:r>
    </w:p>
    <w:p>
      <w:r>
        <w:t xml:space="preserve">darf bis zum Erschöpfen der jeweiligen Bestände in Verkehr gebracht werden.</w:t>
      </w:r>
    </w:p>
    <w:p>
      <w:r>
        <w:t xml:space="preserve">(2) Verpackungen dürfen bis zum Ablauf des 31. Dezember 2027 nach den Kennzeichnungsbestimmungen der in Absatz 1 Nummer 1 genannten Verordnungen hergestellt werden, auch wenn sie die Kennzeichnungsbestimmungen dieser Verordnung nicht erfüllen. Verpackungen, die bis zu dem in Satz 1 bezeichneten Zeitpunkt nach den dort bezeichneten Vorschriften hergestellt wurden, dürfen bis zu dem in Satz 1 genannten Zeitpunkt zur Verpackung von Milchprodukten verwendet werden, sofern die Milchprodukte den Kennzeichnungen auf diesen Verpackungen entsprechen.</w:t>
      </w:r>
    </w:p>
    <w:p>
      <w:r>
        <w:t xml:space="preserve">(3) Ein Milchprodukt, für das eine Verpackung nach Absatz 2 vorgesehen ist, darf bis zu dem in Absatz 2 Satz 1 bezeichneten Zeitpunkt hergestellt und unter ausschließlicher Verwendung dieser Verpackung in Verkehr gebracht werden.</w:t>
      </w:r>
    </w:p>
    <w:p>
      <w:r>
        <w:t xml:space="preserve">(4) Die Absätze 2 und 3 gelten nicht für Produkte und Verpackungen, die den Anforderungen der §§ 43 bis 48 dieser Verordnung unterliegen.</w:t>
      </w:r>
    </w:p>
    <w:p>
      <w:r>
        <w:rPr>
          <w:color w:val="555555"/>
          <w:sz w:val="17"/>
        </w:rPr>
        <w:t xml:space="preserve">Zitiervorschlag: § 67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