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62 MilchPQV — Kennzeichnung</w:t>
      </w:r>
    </w:p>
    <w:p>
      <w:r>
        <w:rPr>
          <w:color w:val="555555"/>
          <w:sz w:val="18"/>
        </w:rPr>
        <w:t xml:space="preserve">Milchproduktqualitätsverordnung</w:t>
      </w:r>
    </w:p>
    <w:p>
      <w:r>
        <w:rPr>
          <w:color w:val="555555"/>
          <w:sz w:val="18"/>
        </w:rPr>
        <w:t xml:space="preserve">Stand: 14.06.2026 (konsolidierte Textfassung, kein amtliches Inkrafttretensdatum)</w:t>
      </w:r>
    </w:p>
    <w:p>
      <w:r>
        <w:t xml:space="preserve">Entspricht ein Milchprodukt, das</w:t>
      </w:r>
    </w:p>
    <w:p>
      <w:pPr>
        <w:ind w:left="420"/>
      </w:pPr>
      <w:r>
        <w:t xml:space="preserve">1. im Ausland hergestellt worden ist und</w:t>
      </w:r>
    </w:p>
    <w:p>
      <w:pPr>
        <w:ind w:left="420"/>
      </w:pPr>
      <w:r>
        <w:t xml:space="preserve">2. im Inland mit einer in dieser Verordnung geregelten Kennzeichnung in Verkehr gebracht worden ist,</w:t>
      </w:r>
    </w:p>
    <w:p>
      <w:r>
        <w:t xml:space="preserve">nicht den Bestimmungen dieser Verordnung für die Herstellung des betreffenden Milchproduktes, ist Artikel 17 Absatz 2 und 3 der Verordnung (EU) Nr. 1169/2011 in der Fassung vom 25. November 2015 für die in dieser Verordnung geregelten Bezeichnungen und sonstigen Kennzeichnungen entsprechend anzuwenden.</w:t>
      </w:r>
    </w:p>
    <w:p>
      <w:r>
        <w:rPr>
          <w:color w:val="555555"/>
          <w:sz w:val="17"/>
        </w:rPr>
        <w:t xml:space="preserve">Zitiervorschlag: § 62 MilchPQV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https://recht.nulegal.eu/gesetze/MilchPQV/62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