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MilchPQV — Art und Weise der Kennzeichnung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Soweit die Art und die Weise der in dieser Verordnung geregelten Kennzeichnung nicht durch</w:t>
      </w:r>
    </w:p>
    <w:p>
      <w:pPr>
        <w:ind w:left="420"/>
      </w:pPr>
      <w:r>
        <w:t xml:space="preserve">1. diese Verordnung,</w:t>
      </w:r>
    </w:p>
    <w:p>
      <w:pPr>
        <w:ind w:left="420"/>
      </w:pPr>
      <w:r>
        <w:t xml:space="preserve">2. die Verordnung (EU) Nr. 1169/2011,</w:t>
      </w:r>
    </w:p>
    <w:p>
      <w:pPr>
        <w:ind w:left="420"/>
      </w:pPr>
      <w:r>
        <w:t xml:space="preserve">3. die auf Grundlage der Verordnung (EU) Nr. 1169/2011 erlassenen Rechtsakte der Europäischen Kommission oder</w:t>
      </w:r>
    </w:p>
    <w:p>
      <w:pPr>
        <w:ind w:left="420"/>
      </w:pPr>
      <w:r>
        <w:t xml:space="preserve">4. die Lebensmittelinformations-Durchführungsverordnung</w:t>
      </w:r>
    </w:p>
    <w:p>
      <w:r>
        <w:t xml:space="preserve">geregelt ist, gelten die Artikel 12 bis 15 der Verordnung (EU) Nr. 1169/2011, die zu diesen Artikeln erlassenen Rechtsakte der Europäischen Kommission und § 2 der Lebensmittelinformations-Durchführungsverordnung entsprechend.</w:t>
      </w:r>
    </w:p>
    <w:p>
      <w:r>
        <w:t xml:space="preserve">(2) Für die Bereitstellung nach § 60 Absatz 3 gilt § 4 Absatz 3 und 4 der Lebensmittelinformations-Durchführungsverordnung entsprechend.</w:t>
      </w:r>
    </w:p>
    <w:p>
      <w:r>
        <w:rPr>
          <w:color w:val="555555"/>
          <w:sz w:val="17"/>
        </w:rPr>
        <w:t xml:space="preserve">Zitiervorschlag: § 61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