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MilchPQV — Allgemeine Anforderungen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Die in der Anlage 8 bezeichneten Milcherzeugnisse sind nach den dort jeweils festgelegten Anforderungen herzustellen.</w:t>
      </w:r>
    </w:p>
    <w:p>
      <w:r>
        <w:t xml:space="preserve">(2) Der Gehalt der einzelnen Milchbestandteile der zur Herstellung verwendeten Milch und Milcherzeugnisse darf vor und während der Herstellung des Milcherzeugnisses verändert werden, sofern dem nicht Anforderungen der Anlage 8 und des Anhanges VII Teil III Nummer 2 Unterabsatz 1 der Verordnung (EU) Nr. 1308/2013 entgegenstehen. Insbesondere können Milchbestandteile ganz oder teilweise entzogen oder durch die Zugabe gleicher Milchbestandteile angereichert werden.</w:t>
      </w:r>
    </w:p>
    <w:p>
      <w:r>
        <w:rPr>
          <w:color w:val="555555"/>
          <w:sz w:val="17"/>
        </w:rPr>
        <w:t xml:space="preserve">Zitiervorschlag: § 49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