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MilchPQV — Allgemeine Anforderungen</w:t>
      </w:r>
    </w:p>
    <w:p>
      <w:r>
        <w:rPr>
          <w:color w:val="555555"/>
          <w:sz w:val="18"/>
        </w:rPr>
        <w:t xml:space="preserve">Milchproduktqualitätsverordnung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Eingedickte Milch und Trockenmilch sind nach den in der Anlage 6 jeweils festgelegten Anforderungen herzustellen.</w:t>
      </w:r>
    </w:p>
    <w:p>
      <w:r>
        <w:rPr>
          <w:color w:val="555555"/>
          <w:sz w:val="17"/>
        </w:rPr>
        <w:t xml:space="preserve">Zitiervorschlag: § 43 MilchPQV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https://recht.nulegal.eu/gesetze/MilchPQV/43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