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MilchPQV — Käsestandardsorten bei Käsearten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Käse der Käseart Sauermilchkäse wird unterteilt in die Käsestandardsorten</w:t>
      </w:r>
    </w:p>
    <w:p>
      <w:pPr>
        <w:ind w:left="420"/>
      </w:pPr>
      <w:r>
        <w:t xml:space="preserve">1. Harzer Käse und Mainzer Käse sowie</w:t>
      </w:r>
    </w:p>
    <w:p>
      <w:pPr>
        <w:ind w:left="420"/>
      </w:pPr>
      <w:r>
        <w:t xml:space="preserve">2. Handkäse, Bauernhandkäse, Korbkäse, Stangenkäse und Spitzkäse.</w:t>
      </w:r>
    </w:p>
    <w:p>
      <w:r>
        <w:t xml:space="preserve">(2) Käse der Käseart Pasta-filata-Käse wird unterteilt in die Käsestandardsorten</w:t>
      </w:r>
    </w:p>
    <w:p>
      <w:pPr>
        <w:ind w:left="420"/>
      </w:pPr>
      <w:r>
        <w:t xml:space="preserve">1. Provolone,</w:t>
      </w:r>
    </w:p>
    <w:p>
      <w:pPr>
        <w:ind w:left="420"/>
      </w:pPr>
      <w:r>
        <w:t xml:space="preserve">2. Mozzarella und</w:t>
      </w:r>
    </w:p>
    <w:p>
      <w:pPr>
        <w:ind w:left="420"/>
      </w:pPr>
      <w:r>
        <w:t xml:space="preserve">3. schnittfester Mozzarella.</w:t>
      </w:r>
    </w:p>
    <w:p>
      <w:r>
        <w:t xml:space="preserve">(3) Für die Käsestandardsorten nach den Absätzen 1 und 2 gelten die in Anlage 4 Abschnitt B und C bezeichneten Anforderungen an die Herstellungsweise und Beschaffenheit sowie an die sonstigen Eigenschaften.</w:t>
      </w:r>
    </w:p>
    <w:p>
      <w:r>
        <w:rPr>
          <w:color w:val="555555"/>
          <w:sz w:val="17"/>
        </w:rPr>
        <w:t xml:space="preserve">Zitiervorschlag: § 33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