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MilchPQV — Käsestandardsorten bei Käsegruppen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Käse der Käsegruppe Hartkäse wird unterteilt in die Käsestandardsorten</w:t>
      </w:r>
    </w:p>
    <w:p>
      <w:pPr>
        <w:ind w:left="420"/>
      </w:pPr>
      <w:r>
        <w:t xml:space="preserve">1. Emmentaler,</w:t>
      </w:r>
    </w:p>
    <w:p>
      <w:pPr>
        <w:ind w:left="420"/>
      </w:pPr>
      <w:r>
        <w:t xml:space="preserve">2. Bergkäse und</w:t>
      </w:r>
    </w:p>
    <w:p>
      <w:pPr>
        <w:ind w:left="420"/>
      </w:pPr>
      <w:r>
        <w:t xml:space="preserve">3. Cheddar (Chester).</w:t>
      </w:r>
    </w:p>
    <w:p>
      <w:r>
        <w:t xml:space="preserve">(2) Käse der Käsegruppe Schnittkäse wird unterteilt in die Käsestandardsorten</w:t>
      </w:r>
    </w:p>
    <w:p>
      <w:pPr>
        <w:ind w:left="420"/>
      </w:pPr>
      <w:r>
        <w:t xml:space="preserve">1. Gouda,</w:t>
      </w:r>
    </w:p>
    <w:p>
      <w:pPr>
        <w:ind w:left="420"/>
      </w:pPr>
      <w:r>
        <w:t xml:space="preserve">2. Edamer,</w:t>
      </w:r>
    </w:p>
    <w:p>
      <w:pPr>
        <w:ind w:left="420"/>
      </w:pPr>
      <w:r>
        <w:t xml:space="preserve">3. Tilsiter und</w:t>
      </w:r>
    </w:p>
    <w:p>
      <w:pPr>
        <w:ind w:left="420"/>
      </w:pPr>
      <w:r>
        <w:t xml:space="preserve">4. Wilstermarschkäse.</w:t>
      </w:r>
    </w:p>
    <w:p>
      <w:r>
        <w:t xml:space="preserve">(3) Käse der Käsegruppe halbfester Schnittkäse wird unterteilt in die Käsestandardsorten</w:t>
      </w:r>
    </w:p>
    <w:p>
      <w:pPr>
        <w:ind w:left="420"/>
      </w:pPr>
      <w:r>
        <w:t xml:space="preserve">1. Steinbuscher,</w:t>
      </w:r>
    </w:p>
    <w:p>
      <w:pPr>
        <w:ind w:left="420"/>
      </w:pPr>
      <w:r>
        <w:t xml:space="preserve">2. Edelpilzkäse und</w:t>
      </w:r>
    </w:p>
    <w:p>
      <w:pPr>
        <w:ind w:left="420"/>
      </w:pPr>
      <w:r>
        <w:t xml:space="preserve">3. Butterkäse.</w:t>
      </w:r>
    </w:p>
    <w:p>
      <w:r>
        <w:t xml:space="preserve">(4) Käse der Käsegruppe Weichkäse wird unterteilt in die Käsestandardsorten</w:t>
      </w:r>
    </w:p>
    <w:p>
      <w:pPr>
        <w:ind w:left="420"/>
      </w:pPr>
      <w:r>
        <w:t xml:space="preserve">1. Camembert,</w:t>
      </w:r>
    </w:p>
    <w:p>
      <w:pPr>
        <w:ind w:left="420"/>
      </w:pPr>
      <w:r>
        <w:t xml:space="preserve">2. Brie,</w:t>
      </w:r>
    </w:p>
    <w:p>
      <w:pPr>
        <w:ind w:left="420"/>
      </w:pPr>
      <w:r>
        <w:t xml:space="preserve">3. Romadur und</w:t>
      </w:r>
    </w:p>
    <w:p>
      <w:pPr>
        <w:ind w:left="420"/>
      </w:pPr>
      <w:r>
        <w:t xml:space="preserve">4. Limburger.</w:t>
      </w:r>
    </w:p>
    <w:p>
      <w:r>
        <w:t xml:space="preserve">(5) Käse der Käsegruppe Frischkäse wird unterteilt in die Käsestandardsorten</w:t>
      </w:r>
    </w:p>
    <w:p>
      <w:pPr>
        <w:ind w:left="420"/>
      </w:pPr>
      <w:r>
        <w:t xml:space="preserve">1. Speisequark,</w:t>
      </w:r>
    </w:p>
    <w:p>
      <w:pPr>
        <w:ind w:left="420"/>
      </w:pPr>
      <w:r>
        <w:t xml:space="preserve">2. Schichtkäse,</w:t>
      </w:r>
    </w:p>
    <w:p>
      <w:pPr>
        <w:ind w:left="420"/>
      </w:pPr>
      <w:r>
        <w:t xml:space="preserve">3. Rahmfrischkäse und</w:t>
      </w:r>
    </w:p>
    <w:p>
      <w:pPr>
        <w:ind w:left="420"/>
      </w:pPr>
      <w:r>
        <w:t xml:space="preserve">4. Doppelrahmfrischkäse.</w:t>
      </w:r>
    </w:p>
    <w:p>
      <w:r>
        <w:t xml:space="preserve">(6) Für die Käsestandardsorten nach den Absätzen 1 bis 5 gelten die in Anlage 4 Abschnitt A bezeichneten Anforderungen an die Herstellungsweise und Beschaffenheit sowie an die sonstigen Eigenschaften.</w:t>
      </w:r>
    </w:p>
    <w:p>
      <w:r>
        <w:t xml:space="preserve">(7) An die Stelle der in § 29 Absatz 1 festgelegten Wassergehalte in der fettfreien Käsegesamtmasse treten die folgenden Mindestbestandteile, sofern in der Anlage 4 Abschnitt A für eine Käsestandardsorte</w:t>
      </w:r>
    </w:p>
    <w:p>
      <w:pPr>
        <w:ind w:left="420"/>
      </w:pPr>
      <w:r>
        <w:t xml:space="preserve">1. ein Mindestgehalt an Trockenmasse festgelegt ist oder</w:t>
      </w:r>
    </w:p>
    <w:p>
      <w:pPr>
        <w:ind w:left="420"/>
      </w:pPr>
      <w:r>
        <w:t xml:space="preserve">2. ein Mindestgehalt an Trockenmasse und ein Mindestgehalt an Eiweiß festgelegt sind.</w:t>
      </w:r>
    </w:p>
    <w:p>
      <w:r>
        <w:rPr>
          <w:color w:val="555555"/>
          <w:sz w:val="17"/>
        </w:rPr>
        <w:t xml:space="preserve">Zitiervorschlag: § 32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