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MilchPQV — Weitere bei der Herstellung von Käse verwendbare Lebensmittel und Stoffe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Bei der Herstellung von Käse dürfen folgende weitere Lebensmittel und Stoffe verwendet werden, wenn die Voraussetzungen des Anhanges VII Teil III Nummer 2 Unterabsatz 1 der Verordnung (EU) Nr. 1308/2013 eingehalten werden:</w:t>
      </w:r>
    </w:p>
    <w:p>
      <w:pPr>
        <w:ind w:left="420"/>
      </w:pPr>
      <w:r>
        <w:t xml:space="preserve">1. Speisesalz und jodiertes Speisesalz;</w:t>
      </w:r>
    </w:p>
    <w:p>
      <w:pPr>
        <w:ind w:left="420"/>
      </w:pPr>
      <w:r>
        <w:t xml:space="preserve">2. Gewürze, Kräuter, aus Gewürzen oder Kräutern gewonnene natürliche Aromastoffe oder Aromaextrakte sowie Mischungen hieraus;</w:t>
      </w:r>
    </w:p>
    <w:p>
      <w:pPr>
        <w:ind w:left="420"/>
      </w:pPr>
      <w:r>
        <w:t xml:space="preserve">3. Trinkwasser und Wasserdampf aus Trinkwasser;</w:t>
      </w:r>
    </w:p>
    <w:p>
      <w:pPr>
        <w:ind w:left="420"/>
      </w:pPr>
      <w:r>
        <w:t xml:space="preserve">4. frisch entwickelter Rauch im Sinne des § 4 Absatz 2 der Aromendurchführungsverordnung und Raucharomen;</w:t>
      </w:r>
    </w:p>
    <w:p>
      <w:pPr>
        <w:ind w:left="420"/>
      </w:pPr>
      <w:r>
        <w:t xml:space="preserve">5. färbende Lebensmittel;</w:t>
      </w:r>
    </w:p>
    <w:p>
      <w:pPr>
        <w:ind w:left="420"/>
      </w:pPr>
      <w:r>
        <w:t xml:space="preserve">6. Lab oder Zubereitungen aus Lab, Wiederkäuermagenpepsin oder Schweinemagenpepsin, wenn der Anteil an Chymosin in einer Zubereitung mindestens 25 Prozent beträgt;</w:t>
      </w:r>
    </w:p>
    <w:p>
      <w:pPr>
        <w:ind w:left="420"/>
      </w:pPr>
      <w:r>
        <w:t xml:space="preserve">7. Labaustauschstoffe;</w:t>
      </w:r>
    </w:p>
    <w:p>
      <w:pPr>
        <w:ind w:left="420"/>
      </w:pPr>
      <w:r>
        <w:t xml:space="preserve">8. Bakterien-, Hefe- und Pilzkulturen, wobei bei Frischkäse</w:t>
      </w:r>
    </w:p>
    <w:p>
      <w:pPr>
        <w:ind w:left="780"/>
      </w:pPr>
      <w:r>
        <w:t xml:space="preserve">a) Hefe- und Pilzkulturen nicht verwendet werden dürfen und</w:t>
      </w:r>
    </w:p>
    <w:p>
      <w:pPr>
        <w:ind w:left="780"/>
      </w:pPr>
      <w:r>
        <w:t xml:space="preserve">b) Bakterienkulturen nur verwendet werden dürfen, sofern sie nicht zu einer Oberflächenreifung führen;</w:t>
      </w:r>
    </w:p>
    <w:p>
      <w:pPr>
        <w:ind w:left="420"/>
      </w:pPr>
      <w:r>
        <w:t xml:space="preserve">9. Laktase;</w:t>
      </w:r>
    </w:p>
    <w:p>
      <w:pPr>
        <w:ind w:left="420"/>
      </w:pPr>
      <w:r>
        <w:t xml:space="preserve">10. Zentrifugat aus Entkeimungseinrichtungen, die einer Einrichtung zur Reinigung der Milch nachgeschaltet sind, wenn das Zentrifugat</w:t>
      </w:r>
    </w:p>
    <w:p>
      <w:pPr>
        <w:ind w:left="780"/>
      </w:pPr>
      <w:r>
        <w:t xml:space="preserve">a) der gleichen Milch in entsprechenden Anteilen zur Herstellung von Käse, ausgenommen Frisch- und Weichkäse, zugesetzt wird,</w:t>
      </w:r>
    </w:p>
    <w:p>
      <w:pPr>
        <w:ind w:left="780"/>
      </w:pPr>
      <w:r>
        <w:t xml:space="preserve">b) in geeigneten Einrichtungen gewonnen wird nach Verfahren, die von folgenden Stellen anerkannt sind:</w:t>
      </w:r>
    </w:p>
    <w:p>
      <w:pPr>
        <w:ind w:left="1140"/>
      </w:pPr>
      <w:r>
        <w:t xml:space="preserve">aa) vom Max Rubner-Institut, Bundesforschungsinstitut für Ernährung und Lebensmittel, oder</w:t>
      </w:r>
    </w:p>
    <w:p>
      <w:pPr>
        <w:ind w:left="1140"/>
      </w:pPr>
      <w:r>
        <w:t xml:space="preserve">bb) von einer anderen in Doppelbuchstabe aa genannten wissenschaftlichen Einrichtung, die mit solchen Verfahren amtlich beauftragt ist, und</w:t>
      </w:r>
    </w:p>
    <w:p>
      <w:pPr>
        <w:ind w:left="780"/>
      </w:pPr>
      <w:r>
        <w:t xml:space="preserve">c) nach einem amtlich genehmigten Wärmebehandlungsverfahren ausreichend erhitzt worden ist;</w:t>
      </w:r>
    </w:p>
    <w:p>
      <w:pPr>
        <w:ind w:left="420"/>
      </w:pPr>
      <w:r>
        <w:t xml:space="preserve">11. bei geriebenem, geraspeltem, gestifteltem, gewürfeltem oder gehobeltem Käse in technologisch notwendigem Umfang als Trennmittel Cellulosepulver, Kartoffel-, Mais- und Reisstärke, auch gemischt, wenn das Trennmittel 3 Prozent des Käsegesamtgewichts nicht überschreitet;</w:t>
      </w:r>
    </w:p>
    <w:p>
      <w:pPr>
        <w:ind w:left="420"/>
      </w:pPr>
      <w:r>
        <w:t xml:space="preserve">12. Speiseöl in einer Menge, die jeweils erforderlich ist</w:t>
      </w:r>
    </w:p>
    <w:p>
      <w:pPr>
        <w:ind w:left="780"/>
      </w:pPr>
      <w:r>
        <w:t xml:space="preserve">a) zur Behandlung der Oberfläche von Hartkäse, Schnittkäse oder halbfestem Schnittkäse mit geschlossener Rinde oder Haut,</w:t>
      </w:r>
    </w:p>
    <w:p>
      <w:pPr>
        <w:ind w:left="780"/>
      </w:pPr>
      <w:r>
        <w:t xml:space="preserve">b) zur Lösung oder Emulgierung von Carotin (E 160a), auch unter Mitverwendung von Speisegelatine und Stärke, oder</w:t>
      </w:r>
    </w:p>
    <w:p>
      <w:pPr>
        <w:ind w:left="780"/>
      </w:pPr>
      <w:r>
        <w:t xml:space="preserve">c) zum Einbringen weiterer Lebensmittel und Stoffe, insbesondere solche der Nummer 2, in den Käse;</w:t>
      </w:r>
    </w:p>
    <w:p>
      <w:pPr>
        <w:ind w:left="420"/>
      </w:pPr>
      <w:r>
        <w:t xml:space="preserve">13. bei Frischkäse Sahneerzeugnisse zur Einstellung des Fettgehaltes;</w:t>
      </w:r>
    </w:p>
    <w:p>
      <w:pPr>
        <w:ind w:left="420"/>
      </w:pPr>
      <w:r>
        <w:t xml:space="preserve">14. bei wärmebehandeltem Frischkäse in technologisch notwendigem Umfang Stärke, Speisegelatine und flüssiges Pektin;</w:t>
      </w:r>
    </w:p>
    <w:p>
      <w:pPr>
        <w:ind w:left="420"/>
      </w:pPr>
      <w:r>
        <w:t xml:space="preserve">15. Lebensmittelzusatzstoffe;</w:t>
      </w:r>
    </w:p>
    <w:p>
      <w:pPr>
        <w:ind w:left="420"/>
      </w:pPr>
      <w:r>
        <w:t xml:space="preserve">16. Verarbeitungshilfsstoffe.</w:t>
      </w:r>
    </w:p>
    <w:p>
      <w:r>
        <w:rPr>
          <w:color w:val="555555"/>
          <w:sz w:val="17"/>
        </w:rPr>
        <w:t xml:space="preserve">Zitiervorschlag: § 28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