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MilchPQV — Anwendungsbereich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Vorbehaltlich anderweitiger Regelungen in dieser Verordnung gilt diese ausschließlich für Lebensmittelunternehmer, die im Inland Milchprodukte herstellen, kennzeichnen oder in Verkehr bringen.</w:t>
      </w:r>
    </w:p>
    <w:p>
      <w:r>
        <w:t xml:space="preserve">(2) Für Milchprodukte, die im Ausland hergestellt werden, gilt diese Verordnung nur nach Maßgabe des Abschnitts 8.</w:t>
      </w:r>
    </w:p>
    <w:p>
      <w:r>
        <w:t xml:space="preserve">(3) Diese Verordnung gilt nicht für</w:t>
      </w:r>
    </w:p>
    <w:p>
      <w:pPr>
        <w:ind w:left="420"/>
      </w:pPr>
      <w:r>
        <w:t xml:space="preserve">1. die Herstellung und Kennzeichnung von</w:t>
      </w:r>
    </w:p>
    <w:p>
      <w:pPr>
        <w:ind w:left="780"/>
      </w:pPr>
      <w:r>
        <w:t xml:space="preserve">a) Rohmilch,</w:t>
      </w:r>
    </w:p>
    <w:p>
      <w:pPr>
        <w:ind w:left="780"/>
      </w:pPr>
      <w:r>
        <w:t xml:space="preserve">b) Kasein, Kaseinaten sowie Mischungen hieraus,</w:t>
      </w:r>
    </w:p>
    <w:p>
      <w:pPr>
        <w:ind w:left="780"/>
      </w:pPr>
      <w:r>
        <w:t xml:space="preserve">c) Käse-Fondue-Zubereitungen und</w:t>
      </w:r>
    </w:p>
    <w:p>
      <w:pPr>
        <w:ind w:left="780"/>
      </w:pPr>
      <w:r>
        <w:t xml:space="preserve">d) Zubereitungen aus Frischkäse, die unter Verwendung von Öl und weiteren Zutaten, insbesondere Gurken, hergestellt werden, sowie</w:t>
      </w:r>
    </w:p>
    <w:p>
      <w:pPr>
        <w:ind w:left="420"/>
      </w:pPr>
      <w:r>
        <w:t xml:space="preserve">2. Milchprodukte, die</w:t>
      </w:r>
    </w:p>
    <w:p>
      <w:pPr>
        <w:ind w:left="780"/>
      </w:pPr>
      <w:r>
        <w:t xml:space="preserve">a) mit einer Ursprungsbezeichnung oder geografischen Angabe oder als garantiert traditionelle Spezialität im Sinne der Verordnung (EU) 2024/1143 gekennzeichnet sind, soweit dort hinsichtlich der jeweiligen Ursprungsbezeichnung, geografischen Angaben oder garantiert traditionellen Spezialität die Herstellung oder Kennzeichnung geregelt ist, oder</w:t>
      </w:r>
    </w:p>
    <w:p>
      <w:pPr>
        <w:ind w:left="780"/>
      </w:pPr>
      <w:r>
        <w:t xml:space="preserve">b) gemäß Artikel 1 Absatz 3 Satz 2 der Verordnung (EG) Nr. 178/2002 für den privaten häuslichen Gebrauch hergestellt werden.</w:t>
      </w:r>
    </w:p>
    <w:p>
      <w:r>
        <w:rPr>
          <w:color w:val="555555"/>
          <w:sz w:val="17"/>
        </w:rPr>
        <w:t xml:space="preserve">Zitiervorschlag: § 2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