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MilchPQV — Gütezeichen bei Markenbutter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(1) Markenbutter in einer Verpackung, die die Anforderung nach § 18 Absatz 1 erfüllt, darf mit einem Gütezeichen nach Anlage 2 gekennzeichnet werden.</w:t>
      </w:r>
    </w:p>
    <w:p>
      <w:r>
        <w:t xml:space="preserve">(2) Das Gütezeichen darf allein oder zusätzlich zu der Kennzeichnung als Markenbutter verwendet werden.</w:t>
      </w:r>
    </w:p>
    <w:p>
      <w:r>
        <w:t xml:space="preserve">(3) Sofern die Markenbutter nur mit dem Gütezeichen versehen wird, ist sie vom Lebensmittelunternehmer spätestens zum Zeitpunkt des Inverkehrbringens zusätzlich mit der Angabe „Amtliche Qualitätskontrolle des Landes … Prüfstelle …“ unter Angabe des Landes und der Prüfstelle zu kennzeichnen.</w:t>
      </w:r>
    </w:p>
    <w:p>
      <w:r>
        <w:t xml:space="preserve">(4) Die Kennzeichnung mit dem Gütezeichen darf nur durch einen Markenbutterbetrieb vorgenommen werden.</w:t>
      </w:r>
    </w:p>
    <w:p>
      <w:r>
        <w:rPr>
          <w:color w:val="555555"/>
          <w:sz w:val="17"/>
        </w:rPr>
        <w:t xml:space="preserve">Zitiervorschlag: § 19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