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MilchPQV — Kennzeichnung als Markenbutter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Markenbutter in einer Verpackung, die gewährleistet, dass die sensorischen Eigenschaften nach § 15 Absatz 1 Nummer 3 Buchstabe c erhalten bleiben, darf zusätzlich als Markenbutter gekennzeichnet werden.</w:t>
      </w:r>
    </w:p>
    <w:p>
      <w:r>
        <w:t xml:space="preserve">(2) Sofern Butter als Markenbutter gekennzeichnet wird, hat der Lebensmittelunternehmer die Butter spätestens zum Zeitpunkt des Inverkehrbringens zusätzlich mit der Angabe „Amtliche Qualitätskontrolle des Landes … Prüfstelle …“ unter Angabe des Landes und der Prüfstelle zu kennzeichnen.</w:t>
      </w:r>
    </w:p>
    <w:p>
      <w:r>
        <w:t xml:space="preserve">(3) Die Kennzeichnung als Markenbutter darf nur durch einen Markenbutterbetrieb vorgenommen werden.</w:t>
      </w:r>
    </w:p>
    <w:p>
      <w:r>
        <w:rPr>
          <w:color w:val="555555"/>
          <w:sz w:val="17"/>
        </w:rPr>
        <w:t xml:space="preserve">Zitiervorschlag: § 18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