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MilchPQV — Allgemeine Anforderungen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Ein Lebensmittelunternehmer hat Butter und bestimmte andere Milchstreichfette spätestens zum Zeitpunkt des Inverkehrbringens nach den Anforderungen</w:t>
      </w:r>
    </w:p>
    <w:p>
      <w:pPr>
        <w:ind w:left="420"/>
      </w:pPr>
      <w:r>
        <w:t xml:space="preserve">1. des in § 12 benannten Unionsrechts und</w:t>
      </w:r>
    </w:p>
    <w:p>
      <w:pPr>
        <w:ind w:left="420"/>
      </w:pPr>
      <w:r>
        <w:t xml:space="preserve">2. des Artikels 230 Absatz 1 Unterabsatz 2 Buchstabe c der Verordnung (EU) Nr. 1308/2013 in der Fassung vom 11. April 2024 in Verbindung mit Anhang XV Abschnitt II Nummer 1, 3 und 5 der Verordnung (EG) Nr. 1234/2007 in der Fassung vom 13. Mai 2013</w:t>
      </w:r>
    </w:p>
    <w:p>
      <w:r>
        <w:t xml:space="preserve">zu kennzeichnen.</w:t>
      </w:r>
    </w:p>
    <w:p>
      <w:r>
        <w:t xml:space="preserve">(2) Sofern die Anforderungen an eine Buttersorte erfüllt werden, hat der Lebensmittelunternehmer Butter zusätzlich zu Absatz 1 mit der Angabe der jeweiligen Buttersorte zu kennzeichnen.</w:t>
      </w:r>
    </w:p>
    <w:p>
      <w:r>
        <w:rPr>
          <w:color w:val="555555"/>
          <w:sz w:val="17"/>
        </w:rPr>
        <w:t xml:space="preserve">Zitiervorschlag: § 17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