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MilchPQV — Weitere bei Buttersorten verwendbare Lebensmittel und Stoffe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Bei der Herstellung von Buttersorten dürfen folgende weitere Lebensmittel und Stoffe verwendet werden, wenn die Voraussetzungen des Anhanges VII Teils III Nummer 2 Unterabsatz 1 der Verordnung (EU) Nr. 1308/2013 eingehalten werden:</w:t>
      </w:r>
    </w:p>
    <w:p>
      <w:pPr>
        <w:ind w:left="420"/>
      </w:pPr>
      <w:r>
        <w:t xml:space="preserve">1. Speisesalz und jodiertes Speisesalz,</w:t>
      </w:r>
    </w:p>
    <w:p>
      <w:pPr>
        <w:ind w:left="420"/>
      </w:pPr>
      <w:r>
        <w:t xml:space="preserve">2. Trinkwasser,</w:t>
      </w:r>
    </w:p>
    <w:p>
      <w:pPr>
        <w:ind w:left="420"/>
      </w:pPr>
      <w:r>
        <w:t xml:space="preserve">3. Laktase und</w:t>
      </w:r>
    </w:p>
    <w:p>
      <w:pPr>
        <w:ind w:left="420"/>
      </w:pPr>
      <w:r>
        <w:t xml:space="preserve">4. Lebensmittelzusatzstoffe.</w:t>
      </w:r>
    </w:p>
    <w:p>
      <w:r>
        <w:rPr>
          <w:color w:val="555555"/>
          <w:sz w:val="17"/>
        </w:rPr>
        <w:t xml:space="preserve">Zitiervorschlag: § 14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