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MilchPQV — Buttersorten</w:t>
      </w:r>
    </w:p>
    <w:p>
      <w:r>
        <w:rPr>
          <w:color w:val="555555"/>
          <w:sz w:val="18"/>
        </w:rPr>
        <w:t xml:space="preserve">Milchproduktqualitätsverordnung</w:t>
      </w:r>
    </w:p>
    <w:p>
      <w:r>
        <w:rPr>
          <w:color w:val="555555"/>
          <w:sz w:val="18"/>
        </w:rPr>
        <w:t xml:space="preserve">Stand: 14.06.2026 (konsolidierte Textfassung, kein amtliches Inkrafttretensdatum)</w:t>
      </w:r>
    </w:p>
    <w:p>
      <w:r>
        <w:t xml:space="preserve">Bei der Herstellung von Buttersorten sind zusätzlich zu § 12 folgende Anforderungen einzuhalten:</w:t>
      </w:r>
    </w:p>
    <w:p>
      <w:pPr>
        <w:ind w:left="420"/>
      </w:pPr>
      <w:r>
        <w:t xml:space="preserve">1. Sauerrahmbutter:</w:t>
      </w:r>
    </w:p>
    <w:p>
      <w:pPr>
        <w:ind w:left="780"/>
      </w:pPr>
      <w:r>
        <w:t xml:space="preserve">a) Herstellung aus jeweils mikrobiell gesäuerter Milch, Sahne oder Molkensahne, auch als Mischung hieraus,</w:t>
      </w:r>
    </w:p>
    <w:p>
      <w:pPr>
        <w:ind w:left="780"/>
      </w:pPr>
      <w:r>
        <w:t xml:space="preserve">b) Verwendung von für die Herstellung von Sauerrahmbutter spezifischen Milchsäurebakterienkulturen vor der Butterung,</w:t>
      </w:r>
    </w:p>
    <w:p>
      <w:pPr>
        <w:ind w:left="780"/>
      </w:pPr>
      <w:r>
        <w:t xml:space="preserve">c) Einhaltung eines pH-Wertes von höchstens im Serum 5,1;</w:t>
      </w:r>
    </w:p>
    <w:p>
      <w:pPr>
        <w:ind w:left="420"/>
      </w:pPr>
      <w:r>
        <w:t xml:space="preserve">2. Süßrahmbutter:</w:t>
      </w:r>
    </w:p>
    <w:p>
      <w:pPr>
        <w:ind w:left="780"/>
      </w:pPr>
      <w:r>
        <w:t xml:space="preserve">a) Herstellung aus jeweils ungesäuerter Milch, Sahne oder Molkensahne, auch als Mischung hieraus,</w:t>
      </w:r>
    </w:p>
    <w:p>
      <w:pPr>
        <w:ind w:left="780"/>
      </w:pPr>
      <w:r>
        <w:t xml:space="preserve">b) keine Verwendung von Milchsäurebakterienkulturen während oder nach der Butterung,</w:t>
      </w:r>
    </w:p>
    <w:p>
      <w:pPr>
        <w:ind w:left="780"/>
      </w:pPr>
      <w:r>
        <w:t xml:space="preserve">c) Einhaltung eines pH-Wertes von mindestens im Serum 6,4;</w:t>
      </w:r>
    </w:p>
    <w:p>
      <w:pPr>
        <w:ind w:left="420"/>
      </w:pPr>
      <w:r>
        <w:t xml:space="preserve">3. mildgesäuerte Butter:</w:t>
      </w:r>
    </w:p>
    <w:p>
      <w:pPr>
        <w:ind w:left="780"/>
      </w:pPr>
      <w:r>
        <w:t xml:space="preserve">a) Herstellung aus jeweils ungesäuerter Milch, Sahne oder Molkensahne, auch als Mischung hieraus,</w:t>
      </w:r>
    </w:p>
    <w:p>
      <w:pPr>
        <w:ind w:left="780"/>
      </w:pPr>
      <w:r>
        <w:t xml:space="preserve">b) Verwendung von für die Herstellung von mildgesäuerter Butter spezifischen Milchsäurebakterienkulturen während der Butterung,</w:t>
      </w:r>
    </w:p>
    <w:p>
      <w:pPr>
        <w:ind w:left="780"/>
      </w:pPr>
      <w:r>
        <w:t xml:space="preserve">c) fakultative Verwendung eines Milchsäurekonzentrats während der Butterung, das aus der Fermentation von Milchinhaltsstoffen mit spezifischen Milchsäurebakterienkulturen gewonnen wurde,</w:t>
      </w:r>
    </w:p>
    <w:p>
      <w:pPr>
        <w:ind w:left="780"/>
      </w:pPr>
      <w:r>
        <w:t xml:space="preserve">d) Einhaltung eines pH-Wertes von unter im Serum 6,4.</w:t>
      </w:r>
    </w:p>
    <w:p>
      <w:r>
        <w:rPr>
          <w:color w:val="555555"/>
          <w:sz w:val="17"/>
        </w:rPr>
        <w:t xml:space="preserve">Zitiervorschlag: § 13 MilchPQV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https://recht.nulegal.eu/gesetze/MilchPQV/13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