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MilchMargG — Bußgeldvorschriften</w:t>
      </w:r>
    </w:p>
    <w:p>
      <w:r>
        <w:rPr>
          <w:color w:val="555555"/>
          <w:sz w:val="18"/>
        </w:rPr>
        <w:t xml:space="preserve">Milch- und Margarinegesetz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fahrlässig eine in § 8 bezeichnete Handlung begeht.</w:t>
      </w:r>
    </w:p>
    <w:p>
      <w:r>
        <w:t xml:space="preserve">(2) Ordnungswidrig handelt, wer vorsätzlich oder fahrlässig</w:t>
      </w:r>
    </w:p>
    <w:p>
      <w:pPr>
        <w:ind w:left="420"/>
      </w:pPr>
      <w:r>
        <w:t xml:space="preserve">1. entgegen § 1 Abs. 2 Satz 2 dort genannte Erzeugnisse nicht getrennt hält oder nicht kenntlich macht,</w:t>
      </w:r>
    </w:p>
    <w:p>
      <w:pPr>
        <w:ind w:left="420"/>
      </w:pPr>
      <w:r>
        <w:t xml:space="preserve">2. einer Rechtsverordnung nach § 3 Abs. 1 und 2 Satz 1 Nr. 2 zuwiderhandelt, soweit sie für einen bestimmten Tatbestand auf diese Bußgeldvorschrift verweist, oder</w:t>
      </w:r>
    </w:p>
    <w:p>
      <w:pPr>
        <w:ind w:left="420"/>
      </w:pPr>
      <w:r>
        <w:t xml:space="preserve">3. einer vollziehbaren Anordnung auf Grund einer Rechtsverordnung nach § 3 Abs. 2 Satz 2 zuwiderhandelt, soweit die Rechtsverordnung für einen bestimmten Tatbestand auf diese Bußgeldvorschrift verweist,</w:t>
      </w:r>
    </w:p>
    <w:p>
      <w:pPr>
        <w:ind w:left="420"/>
      </w:pPr>
      <w:r>
        <w:t xml:space="preserve">4. einer unmittelbar geltenden Vorschrift in Rechtsakten der Europäischen Gemeinschaft oder der Europäischen Union zuwiderhandelt, die inhaltlich einer Regelung entspricht, zu der § 3 ermächtigt, soweit eine Rechtsverordnung nach § 10 Nr. 2 für einen bestimmten Tatbestand auf diese Bußgeldvorschrift verweist oder</w:t>
      </w:r>
    </w:p>
    <w:p>
      <w:pPr>
        <w:ind w:left="420"/>
      </w:pPr>
      <w:r>
        <w:t xml:space="preserve">5. entgegen § 4a Absatz 1 Nummer 1 in Verbindung mit einer Rechtsverordnung nach § 3 Absatz 1 Satz 1 Nummer 1, auch in Verbindung mit § 3 Absatz 1 Satz 2, oder entgegen § 4a Absatz 1 Nummer 2 ein dort genanntes Erzeugnis in Verkehr bringt oder</w:t>
      </w:r>
    </w:p>
    <w:p>
      <w:pPr>
        <w:ind w:left="420"/>
      </w:pPr>
      <w:r>
        <w:t xml:space="preserve">6. entgegen § 4a Absatz 3 Satz 1 einen dort genannten Bestandteil in der Kennzeichnung oder Bewerbung hervorhebt.</w:t>
      </w:r>
    </w:p>
    <w:p>
      <w:r>
        <w:t xml:space="preserve">(3) Ordnungswidrig handelt, wer vorsätzlich oder fahrlässig entgegen Anhang VII Teil III Nummer 5 Unterabsatz 1 der Verordnung (EU) Nr. 1308/2013 des Europäischen Parlaments und des Rates vom 17. Dezember 2013 über eine gemeinsame Marktorganisation für landwirtschaftliche Erzeugnisse und zur Aufhebung der Verordnungen (EWG) Nr. 922/72, (EWG) Nr. 234/79, (EG) Nr. 1037/2001 und (EG) Nr. 1234/2007 (ABl. L 347 vom 20.12.2013, S. 671), die zuletzt durch die Verordnung (EU) 2017/2393 (ABl. L 350 vom 29.12.2017, S. 15) geändert worden ist, eine Bezeichnung verwendet.</w:t>
      </w:r>
    </w:p>
    <w:p>
      <w:r>
        <w:t xml:space="preserve">(4) Die Ordnungswidrigkeit kann in den Fällen des Absatzes 1 mit einer Geldbuße bis zu fünfzigtausend und in den übrigen Fällen mit einer Geldbuße bis zu zwanzigtausend Euro geahndet werden.</w:t>
      </w:r>
    </w:p>
    <w:p>
      <w:r>
        <w:rPr>
          <w:color w:val="555555"/>
          <w:sz w:val="17"/>
        </w:rPr>
        <w:t xml:space="preserve">Zitiervorschlag: § 9 MilchMargG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https://recht.nulegal.eu/gesetze/MilchMargG/9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