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16 MilchMargG — Inkrafttreten, abgelöste Vorschriften</w:t>
      </w:r>
    </w:p>
    <w:p>
      <w:r>
        <w:rPr>
          <w:color w:val="555555"/>
          <w:sz w:val="18"/>
        </w:rPr>
        <w:t xml:space="preserve">Milch- und Margarinegesetz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Dieses Gesetz tritt am Tage nach der Verkündung in Kraft.</w:t>
      </w:r>
    </w:p>
    <w:p>
      <w:r>
        <w:rPr>
          <w:color w:val="555555"/>
          <w:sz w:val="17"/>
        </w:rPr>
        <w:t xml:space="preserve">Zitiervorschlag: § 16 MilchMargG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https://recht.nulegal.eu/gesetze/MilchMargG/16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