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MilchMargG — Rechtsverordnungen in besonderen Fällen</w:t>
      </w:r>
    </w:p>
    <w:p>
      <w:r>
        <w:rPr>
          <w:color w:val="555555"/>
          <w:sz w:val="18"/>
        </w:rPr>
        <w:t xml:space="preserve">Milch- und Margarinegesetz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Rechtsverordnungen nach § 3 Absatz 1 können ohne Zustimmung des Bundesrates erlassen werden, wenn ihr unverzügliches Inkrafttreten zur Durchführung von Rechtsakten im Sinne des § 1 Absatz 1a erforderlich und ihre Geltungsdauer auf einen bestimmten Zeitraum von höchstens sechs Monaten begrenzt ist.</w:t>
      </w:r>
    </w:p>
    <w:p>
      <w:r>
        <w:t xml:space="preserve">(2) Das Bundesministerium wird ermächtigt, durch Rechtsverordnung ohne Zustimmung des Bundesrates Verweisungen auf Vorschriften in Rechtsakten im Sinne des § 1 Absatz 1, insbesondere Verweisungen auf Vorschriften in der Verordnung (EG) Nr. 1308/2013, in diesem Gesetz oder in auf Grund dieses Gesetzes erlassenen Rechtsverordnungen zu ändern, soweit es zur Anpassung an Änderungen dieser Vorschriften erforderlich ist. Von der Ermächtigung nach Satz 1 darf nur zur Anpassung an redaktionelle Änderungen, einschließlich der Änderung der Nummern oder der Bezeichnungen von Rechtsakten oder von Einzelnormen, sowie zur Anpassung von Änderungshinweisen Gebrauch gemacht werden.</w:t>
      </w:r>
    </w:p>
    <w:p>
      <w:r>
        <w:rPr>
          <w:color w:val="555555"/>
          <w:sz w:val="17"/>
        </w:rPr>
        <w:t xml:space="preserve">Zitiervorschlag: § 12 MilchMargG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https://recht.nulegal.eu/gesetze/MilchMargG/12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