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MilchMargG — Ermächtigung</w:t>
      </w:r>
    </w:p>
    <w:p>
      <w:r>
        <w:rPr>
          <w:color w:val="555555"/>
          <w:sz w:val="18"/>
        </w:rPr>
        <w:t xml:space="preserve">Milch- und Margarinegesetz</w:t>
      </w:r>
    </w:p>
    <w:p>
      <w:r>
        <w:rPr>
          <w:color w:val="555555"/>
          <w:sz w:val="18"/>
        </w:rPr>
        <w:t xml:space="preserve">Stand: 10.06.2019 (konsolidierte Textfassung, kein amtliches Inkrafttretensdatum)</w:t>
      </w:r>
    </w:p>
    <w:p>
      <w:r>
        <w:t xml:space="preserve">Das Bundesministerium für Ernährung und Landwirtschaft wird ermächtigt, soweit dies zur Durchsetzung der Rechtsakte der Europäischen Gemeinschaft oder der Europäischen Union erforderlich ist, durch Rechtsverordnung ohne Zustimmung des Bundesrates die Tatbestände zu bezeichnen, die als Ordnungswidrigkeit nach § 9 Abs. 2 Nr. 4 geahndet werden können.</w:t>
      </w:r>
    </w:p>
    <w:p>
      <w:r>
        <w:rPr>
          <w:color w:val="555555"/>
          <w:sz w:val="17"/>
        </w:rPr>
        <w:t xml:space="preserve">Zitiervorschlag: § 10 MilchMargG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https://recht.nulegal.eu/gesetze/MilchMargG/10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