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MilchLMeistPrV — Arbeitsprojekt</w:t>
      </w:r>
    </w:p>
    <w:p>
      <w:r>
        <w:rPr>
          <w:color w:val="555555"/>
          <w:sz w:val="18"/>
        </w:rPr>
        <w:t xml:space="preserve">Milchwirtschaftlicher-Labormeister-Prüfungsverordnung</w:t>
      </w:r>
    </w:p>
    <w:p>
      <w:r>
        <w:rPr>
          <w:color w:val="555555"/>
          <w:sz w:val="18"/>
        </w:rPr>
        <w:t xml:space="preserve">Stand: 16.09.2021 (konsolidierte Textfassung, kein amtliches Inkrafttretensdatum)</w:t>
      </w:r>
    </w:p>
    <w:p>
      <w:r>
        <w:t xml:space="preserve">(1) Mit der Durchführung des Arbeitsprojektes hat die zu prüfende Person nachzuweisen, dass sie in der Lage ist, ausgehend von einer konkreten betrieblichen Situation die komplexen Zusammenhänge in einem milchwirtschaftlichen Labor oder in einem vergleichbaren Labor zu erfassen und zu analysieren sowie Lösungsvorschläge für betriebliche Fragestellungen zu erstellen und diese umzusetzen.</w:t>
      </w:r>
    </w:p>
    <w:p>
      <w:r>
        <w:t xml:space="preserve">(2) Die Aufgabe für das Arbeitsprojekt soll sich auf den laufenden Betrieb eines milchwirtschaftlichen Labors oder vergleichbarer Labore beziehen und muss einen konkreten Praxisbezug aufweisen. Bei der Wahl der Aufgabe für das Projekt sollen Vorschläge der zu prüfenden Person berücksichtigt werden.</w:t>
      </w:r>
    </w:p>
    <w:p>
      <w:r>
        <w:t xml:space="preserve">(3) Die zu prüfende Person hat das Arbeitsprojekt schriftlich zu planen und durchzuführen, den Verlauf der Bearbeitung sowie die Ergebnisse zu dokumentieren und in einem Fachgespräch zu erläutern. Das Fachgespräch erstreckt sich auf den Verlauf und die Ergebnisse des Arbeitsprojektes sowie auf die hierfür relevanten Prüfungsinhalte nach § 6 Absatz 3.</w:t>
      </w:r>
    </w:p>
    <w:p>
      <w:r>
        <w:t xml:space="preserve">(4) Für die Durchführung des Arbeitsprojektes steht der zur prüfenden Person ein Zeitraum von sechs Monaten zur Verfügung. Das Fachgespräch soll nicht länger als 60 Minuten dauern.</w:t>
      </w:r>
    </w:p>
    <w:p>
      <w:r>
        <w:rPr>
          <w:color w:val="555555"/>
          <w:sz w:val="17"/>
        </w:rPr>
        <w:t xml:space="preserve">Zitiervorschlag: § 8 MilchLMeistPrV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https://recht.nulegal.eu/gesetze/MilchLMeistPrV/8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