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MilchLMeistPrV — Zeugnisse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Wer die Prüfung bestanden hat, erhält von der zuständigen Stelle zwei Zeugnisse nach Maßgabe der Anlage 2.</w:t>
      </w:r>
    </w:p>
    <w:p>
      <w:r>
        <w:t xml:space="preserve">(2) Auf dem Zeugnis mit den Inhalten nach Anlage 2 Teil B sind die Noten als Dezimalzahlen mit einer Nachkommastelle und in Worten nach Anlage 1 anzugeben für</w:t>
      </w:r>
    </w:p>
    <w:p>
      <w:pPr>
        <w:ind w:left="420"/>
      </w:pPr>
      <w:r>
        <w:t xml:space="preserve">1. jeden Prüfungsteil nach § 4,</w:t>
      </w:r>
    </w:p>
    <w:p>
      <w:pPr>
        <w:ind w:left="420"/>
      </w:pPr>
      <w:r>
        <w:t xml:space="preserve">2. jeden Prüfungsbestandteil nach den §§ 7, 11 und 15 sowie</w:t>
      </w:r>
    </w:p>
    <w:p>
      <w:pPr>
        <w:ind w:left="420"/>
      </w:pPr>
      <w:r>
        <w:t xml:space="preserve">3. die Gesamtleistung.</w:t>
      </w:r>
    </w:p>
    <w:p>
      <w:r>
        <w:t xml:space="preserve">Jede Befreiung nach § 20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zu prüfenden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22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