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MilchLMeistPrV — Befreiung von Prüfungsbestandteilen</w:t>
      </w:r>
    </w:p>
    <w:p>
      <w:r>
        <w:rPr>
          <w:color w:val="555555"/>
          <w:sz w:val="18"/>
        </w:rPr>
        <w:t xml:space="preserve">Milchwirtschaftlicher-Labormeister-Prüfungsverordnung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so bleiben diese Prüfungsbestandteile für die Anwendung des § 19 außer Betracht. Für die übrigen Prüfungsbestandteile erhöhen sich die Anteile nach § 19 Absatz 2 bis 5 entsprechend ihrem Verhältnis zueinander. Allein diese Prüfungsbestandteile sind den Entscheidungen des Prüfungsausschusses zu Grunde zu legen.</w:t>
      </w:r>
    </w:p>
    <w:p>
      <w:r>
        <w:rPr>
          <w:color w:val="555555"/>
          <w:sz w:val="17"/>
        </w:rPr>
        <w:t xml:space="preserve">Zitiervorschlag: § 20 MilchLMeistPrV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https://recht.nulegal.eu/gesetze/MilchLMeistPrV/20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