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MilchLMeistPrV — Betriebswirtschaftliche Situationsanalyse</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In der betriebswirtschaftlichen Situationsanalyse hat die zu prüfende Person eine betriebswirtschaftlich relevante unternehmerische Situation zu analysieren, zu bewerten und Lösungsvorschläge zu entwickeln. Die Situation wird vom Prüfungsausschuss vorgegeben und muss sich auf die in § 10 Absatz 2 genannten Inhalte beziehen.</w:t>
      </w:r>
    </w:p>
    <w:p>
      <w:r>
        <w:t xml:space="preserve">(2) Die zu prüfende Person hat die Analyse und Bewertung der vorgegebenen Situation sowie die auf dieser Basis entwickelten Lösungsvorschläge schriftlich zu dokumentieren und in einem Fachgespräch zu erläutern. Das Fachgespräch erstreckt sich auf die Ergebnisse der Situationsanalyse sowie auf die hierfür relevanten Prüfungsinhalte nach § 10 Absatz 2.</w:t>
      </w:r>
    </w:p>
    <w:p>
      <w:r>
        <w:t xml:space="preserve">(3) Für die Durchführung der betriebswirtschaftlichen Situationsanalyse stehen 14 Kalendertage zur Verfügung. Das Fachgespräch soll nicht länger als 45 Minuten dauern.</w:t>
      </w:r>
    </w:p>
    <w:p>
      <w:r>
        <w:rPr>
          <w:color w:val="555555"/>
          <w:sz w:val="17"/>
        </w:rPr>
        <w:t xml:space="preserve">Zitiervorschlag: § 12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