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MilchLAusbV 2013 — Bestehende Berufsausbildungsverhältnisse</w:t>
      </w:r>
    </w:p>
    <w:p>
      <w:r>
        <w:rPr>
          <w:color w:val="555555"/>
          <w:sz w:val="18"/>
        </w:rPr>
        <w:t xml:space="preserve">Milchwirtschaftliche-Laboranten-Ausbildungsverordnung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Berufsausbildungsverhältnisse, die bei Inkrafttreten dieser Verordnung bestehen, können unter Anrechnung der bisher zurückgelegten Ausbildungszeit nach den Vorschriften dieser Verordnung fortgesetzt werden, wenn die Vertragsparteien dies vereinbaren.</w:t>
      </w:r>
    </w:p>
    <w:p>
      <w:r>
        <w:rPr>
          <w:color w:val="555555"/>
          <w:sz w:val="17"/>
        </w:rPr>
        <w:t xml:space="preserve">Zitiervorschlag: § 7 MilchLAusbV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https://recht.nulegal.eu/gesetze/MilchLAusbV%202013/7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