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MilchLAusbStEignV — Inkrafttreten, Außerkrafttreten</w:t>
      </w:r>
    </w:p>
    <w:p>
      <w:r>
        <w:rPr>
          <w:color w:val="555555"/>
          <w:sz w:val="18"/>
        </w:rPr>
        <w:t xml:space="preserve">Milchwirtschaftliche-Laboranten-Ausbildungsstätteneignungsverordnung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 Gleichzeitig tritt die Verordnung über die Eignung der Ausbildungsstätte für die Berufsausbildung zum Milchwirtschaftlichen Laboranten/zur Milchwirtschaftlichen Laborantin vom 28. Februar 1991 (BGBl. I S. 524) außer Kraft.</w:t>
      </w:r>
    </w:p>
    <w:p>
      <w:r>
        <w:rPr>
          <w:color w:val="555555"/>
          <w:sz w:val="17"/>
        </w:rPr>
        <w:t xml:space="preserve">Zitiervorschlag: § 3 MilchLAusbStEignV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https://recht.nulegal.eu/gesetze/MilchLAusbStEignV/3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