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MilchKennzV — Anpassung an die Verordnung (EU) Nr. 1169/2011 und an die Lebensmittelinformations-Durchführungsverordnung</w:t>
      </w:r>
    </w:p>
    <w:p>
      <w:r>
        <w:rPr>
          <w:color w:val="555555"/>
          <w:sz w:val="18"/>
        </w:rPr>
        <w:t xml:space="preserve">Konsummilch-Kennzeichnungs-Verordnung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Diese Verordnung ist nicht anzuwenden, soweit ihr Bestimmungen entgegenstehen aus</w:t>
      </w:r>
    </w:p>
    <w:p>
      <w:pPr>
        <w:ind w:left="420"/>
      </w:pPr>
      <w:r>
        <w:t xml:space="preserve">1.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 oder</w:t>
      </w:r>
    </w:p>
    <w:p>
      <w:pPr>
        <w:ind w:left="420"/>
      </w:pPr>
      <w:r>
        <w:t xml:space="preserve">2. den auf die Verordnung (EU) Nr. 1169/2011 gestützten Rechtsakten der Europäischen Union.</w:t>
      </w:r>
    </w:p>
    <w:p>
      <w:r>
        <w:t xml:space="preserve">(2) Wird Konsummilch in einer in § 4 der Lebensmittelinformations-Durchführungsverordnung geregelten Form der Abgabe in den Verkehr gebracht, so ist diese Verordnung nur vorbehaltlich des § 4 der Lebensmittelinformations-Durchführungsverordnung anzuwenden.</w:t>
      </w:r>
    </w:p>
    <w:p>
      <w:r>
        <w:t xml:space="preserve">(3) Soweit in dieser Verordnung auf die Lebensmittel-Kennzeichnungsverordnung oder Vorschriften der Lebensmittel-Kennzeichnungsverordnung verwiesen wird, ist die Lebensmittel-Kennzeichnungsverordnung in der bis zum 12. Juli 2017 geltenden Fassung weiter anzuwenden. Die Absätze 1 und 2 bleiben unberührt.</w:t>
      </w:r>
    </w:p>
    <w:p>
      <w:r>
        <w:rPr>
          <w:color w:val="555555"/>
          <w:sz w:val="17"/>
        </w:rPr>
        <w:t xml:space="preserve">Zitiervorschlag: § 4a MilchKennzV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https://recht.nulegal.eu/gesetze/MilchKennzV/4a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