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 MilchKennzV — Besondere Kennzeichnungsvorschriften</w:t>
      </w:r>
    </w:p>
    <w:p>
      <w:r>
        <w:rPr>
          <w:color w:val="555555"/>
          <w:sz w:val="18"/>
        </w:rPr>
        <w:t xml:space="preserve">Konsummilch-Kennzeichnungs-Verordnung</w:t>
      </w:r>
    </w:p>
    <w:p>
      <w:r>
        <w:rPr>
          <w:color w:val="555555"/>
          <w:sz w:val="18"/>
        </w:rPr>
        <w:t xml:space="preserve">Historische Fassung: Stand 10.06.2019 bis 14.06.2026. Dies ist nicht die aktuelle Fassung.</w:t>
      </w:r>
    </w:p>
    <w:p>
      <w:r>
        <w:t xml:space="preserve">Die Kennzeichnung muß ferner enthalten den Fettgehalt der Konsummilch in vom Hundert des Gewichts durch die Angabe</w:t>
      </w:r>
    </w:p>
    <w:p>
      <w:pPr>
        <w:ind w:left="420"/>
      </w:pPr>
      <w:r>
        <w:t xml:space="preserve">a) "mindestens ...% Fett" bei Vollmilch mit natürlichem Fettgehalt,</w:t>
      </w:r>
    </w:p>
    <w:p>
      <w:pPr>
        <w:ind w:left="420"/>
      </w:pPr>
      <w:r>
        <w:t xml:space="preserve">b) „. . . % Fett“ bei im Fettgehalt eingestellter Vollmilch, teilentrahmter (fettarmer) Milch und Trinkmilch,</w:t>
      </w:r>
    </w:p>
    <w:p>
      <w:pPr>
        <w:ind w:left="420"/>
      </w:pPr>
      <w:r>
        <w:t xml:space="preserve">c) "höchstens ...% Fett" bei entrahmter Milch;.</w:t>
      </w:r>
    </w:p>
    <w:p>
      <w:r>
        <w:rPr>
          <w:color w:val="555555"/>
          <w:sz w:val="17"/>
        </w:rPr>
        <w:t xml:space="preserve">Zitiervorschlag: § 3 MilchKennzV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https://recht.nulegal.eu/gesetze/MilchKennzV/3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