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MilchGüV — Befugnisse der Länder</w:t>
      </w:r>
    </w:p>
    <w:p>
      <w:r>
        <w:rPr>
          <w:color w:val="555555"/>
          <w:sz w:val="18"/>
        </w:rPr>
        <w:t xml:space="preserve">Milch-Güteverordnung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Unberührt bleibt die Befugnis der Landesregierungen, nach § 10 Abs. 2 und § 20 Abs. 2 Satz 1 des Milch- und Fettgesetzes Vorschriften, soweit sie dieser Verordnung nicht entgegenstehen, zu erlassen, insbesondere über</w:t>
      </w:r>
    </w:p>
    <w:p>
      <w:pPr>
        <w:ind w:left="420"/>
      </w:pPr>
      <w:r>
        <w:t xml:space="preserve">1. die Probenahme, einschließlich der Probenahmegeräte und der Häufigkeit der Proben, für die Untersuchungen nach § 2,</w:t>
      </w:r>
    </w:p>
    <w:p>
      <w:pPr>
        <w:ind w:left="420"/>
      </w:pPr>
      <w:r>
        <w:t xml:space="preserve">2. weitere Gütemerkmale, einschließlich deren Feststellung und Bewertung im Rahmen der Gütebezahlung, sowie</w:t>
      </w:r>
    </w:p>
    <w:p>
      <w:pPr>
        <w:ind w:left="420"/>
      </w:pPr>
      <w:r>
        <w:t xml:space="preserve">3. die Beratung der Milcherzeuger, einschließlich der hierfür erforderlichen Übermittlung der Untersuchungsergebnisse nach § 2.</w:t>
      </w:r>
    </w:p>
    <w:p>
      <w:r>
        <w:rPr>
          <w:color w:val="555555"/>
          <w:sz w:val="17"/>
        </w:rPr>
        <w:t xml:space="preserve">Zitiervorschlag: § 6 MilchGüV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https://recht.nulegal.eu/gesetze/MilchG%C3%BCV/6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