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MilchGüV — Aufzeichnungs- und Aufbewahrungspflichten</w:t>
      </w:r>
    </w:p>
    <w:p>
      <w:r>
        <w:rPr>
          <w:color w:val="555555"/>
          <w:sz w:val="18"/>
        </w:rPr>
        <w:t xml:space="preserve">Milch-Güteverordnung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(1) Der Abnehmer hat die Ergebnisse der Untersuchungen nach § 2 und die Einstufung nach § 3 laufend aufzuzeichnen. Er hat ferner den Auszahlungspreis nach § 4 laufend aufzuzeichnen.</w:t>
      </w:r>
    </w:p>
    <w:p>
      <w:r>
        <w:t xml:space="preserve">(2) Zusammen mit den Ergebnissen der Untersuchungen sind das Datum der Probenahme, die Art der Konservierung, das Datum der Untersuchung und die Untersuchungsmethode aufzuzeichnen.</w:t>
      </w:r>
    </w:p>
    <w:p>
      <w:r>
        <w:t xml:space="preserve">(3) Die Aufzeichnungen sind drei Jahre aufzubewahren und der nach Landesrecht zuständigen Stelle auf Verlangen vorzulegen.</w:t>
      </w:r>
    </w:p>
    <w:p>
      <w:r>
        <w:rPr>
          <w:color w:val="555555"/>
          <w:sz w:val="17"/>
        </w:rPr>
        <w:t xml:space="preserve">Zitiervorschlag: § 5 MilchGüV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https://recht.nulegal.eu/gesetze/MilchG%C3%BCV/5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