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MilchFettG — Begriffsbestimmungen</w:t>
      </w:r>
    </w:p>
    <w:p>
      <w:r>
        <w:rPr>
          <w:color w:val="555555"/>
          <w:sz w:val="18"/>
        </w:rPr>
        <w:t xml:space="preserve">Milch- und Fettgesetz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dieses Gesetz sind die Begriffsbestimmungen der §§ 1 und 2 der Ersten Verordnung zur Ausführung des Milchgesetzes vom 15. Mai 1931 (Reichsgesetzbl. I S. 150) maßgebend, soweit sich nicht aus Absatz 2 ein anderes ergibt.</w:t>
      </w:r>
    </w:p>
    <w:p>
      <w:r>
        <w:t xml:space="preserve">(2) Milcherzeugnisse im Sinne des ersten Teiles sind: Sauermilchsorten (Sauermilch, Joghurt, Kefir und ähnliches), entrahmte Milch, saure Magermilch, Magermilch-Joghurt, Magermilch-Kefir und ähnliches, Molke, Buttermilch, geschlagene Buttermilch, Sahne (Rahm), saure Sahne und Schlagsahne.</w:t>
      </w:r>
    </w:p>
    <w:p>
      <w:r>
        <w:t xml:space="preserve">(3) Milcherzeuger im Sinne dieses Gesetzes sind alle Kuhhalter.</w:t>
      </w:r>
    </w:p>
    <w:p>
      <w:r>
        <w:t xml:space="preserve">(4) Molkereien im Sinne dieses Gesetzes sind auch Betriebe, die Käse, Schmelzkäse oder Milch- und Sahnedauerwaren herstellen.</w:t>
      </w:r>
    </w:p>
    <w:p>
      <w:r>
        <w:t xml:space="preserve">(5) Großverbraucher im Sinne dieses Gesetzes sind diejenigen Verbraucher, die Milch über den Haushaltsbedarf hinaus beziehen, insbesondere die in § 2 Abs. 2 des Milchgesetzes vom 31. Juli 1930 (Reichsgesetzbl. I S. 421) genannten Betriebe.</w:t>
      </w:r>
    </w:p>
    <w:p>
      <w:r>
        <w:rPr>
          <w:color w:val="555555"/>
          <w:sz w:val="17"/>
        </w:rPr>
        <w:t xml:space="preserve">Zitiervorschlag: § 4 MilchFettG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https://recht.nulegal.eu/gesetze/MilchFettG/4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