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MilchFettG — Schlußbestimmungen</w:t>
      </w:r>
    </w:p>
    <w:p>
      <w:r>
        <w:rPr>
          <w:color w:val="555555"/>
          <w:sz w:val="18"/>
        </w:rPr>
        <w:t xml:space="preserve">Milch- und Fettgesetz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Mit Inkrafttreten dieses Gesetzes treten die §§ 20 bis 34 und 38 des Milchgesetzes vom 31. Juli 1930 (Reichsgesetzbl. I S. 421) in der Fassung des Artikels 5 der Verordnung des Reichspräsidenten vom 23. März 1933 (Reichsgesetzbl. I S. 143) und des Zweiten Gesetzes zur Änderung des Milchgesetzes vom 20. Juli 1933 (Reichsgesetzbl. I S. 527) außer Kraft; die übrigen Bestimmungen des Milchgesetzes bleiben unberührt. ...</w:t>
      </w:r>
    </w:p>
    <w:p>
      <w:r>
        <w:t xml:space="preserve">(3) Mit Inkrafttreten dieses Gesetzes treten entgegenstehende Bestimmungen außer Kraft, insbesondere</w:t>
      </w:r>
    </w:p>
    <w:p>
      <w:pPr>
        <w:ind w:left="420"/>
      </w:pPr>
      <w:r>
        <w:t xml:space="preserve">1. bis 12.</w:t>
      </w:r>
    </w:p>
    <w:p>
      <w:pPr>
        <w:ind w:left="420"/>
      </w:pPr>
      <w:r>
        <w:t xml:space="preserve">13. die Bekanntmachung des Reichsministers für Ernährung und Landwirtschaft vom 8. Februar 1940 (Deutscher Reichsanzeiger Nr. 46),</w:t>
      </w:r>
    </w:p>
    <w:p>
      <w:r>
        <w:t xml:space="preserve">14.</w:t>
      </w:r>
    </w:p>
    <w:p>
      <w:pPr>
        <w:ind w:left="420"/>
      </w:pPr>
      <w:r>
        <w:t xml:space="preserve">15. alle Anordnungen der Wirtschaftlichen Vereinigung der Dauermilcherzeuger, der deutschen milchwirtschaftlichen Vereinigung (Hauptvereinigung), der Hauptvereinigung der deutschen Milchwirtschaft, der Hauptvereinigung der deutschen Milch- und Fettwirtschaft, der Hauptvereinigung der deutschen Eierwirtschaft und der Hauptvereinigung der deutschen Milch-, Fett- und Eierwirtschaft.</w:t>
      </w:r>
    </w:p>
    <w:p>
      <w:r>
        <w:t xml:space="preserve">(4) Verweisungen auf Vorschriften, die nach Absatz 2 und 3 außer Kraft getreten sind, gelten als Verweisungen auf die entsprechenden Bestimmungen dieses Gesetzes und seine Durchführungsbestimmungen.</w:t>
      </w:r>
    </w:p>
    <w:p>
      <w:r>
        <w:t xml:space="preserve">(5) Das Bundesministerium trifft diejenigen Maßnahmen, die infolge des Außerkraftsetzens der in den Absätzen 2 und 3 aufgeführten Bestimmungen erforderlich werden.</w:t>
      </w:r>
    </w:p>
    <w:p>
      <w:r>
        <w:rPr>
          <w:color w:val="555555"/>
          <w:sz w:val="17"/>
        </w:rPr>
        <w:t xml:space="preserve">Zitiervorschlag: § 32 MilchFettG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https://recht.nulegal.eu/gesetze/MilchFettG/32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