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MilchFettG — Rechtsverordnungen</w:t>
      </w:r>
    </w:p>
    <w:p>
      <w:r>
        <w:rPr>
          <w:color w:val="555555"/>
          <w:sz w:val="18"/>
        </w:rPr>
        <w:t xml:space="preserve">Milch- und Fettgesetz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Rechtsverordnungen, die auf Grund des § 27 Abs. 2 erlassen werden, bedürfen der Zustimmung des Bundesrates nach Artikel 80 Abs. 2 des Grundgesetzes nicht.</w:t>
      </w:r>
    </w:p>
    <w:p>
      <w:r>
        <w:rPr>
          <w:color w:val="555555"/>
          <w:sz w:val="17"/>
        </w:rPr>
        <w:t xml:space="preserve">Zitiervorschlag: § 31 MilchFettG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https://recht.nulegal.eu/gesetze/MilchFettG/31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