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30 MilchFettG — Ordnungswidrigkeiten</w:t>
      </w:r>
    </w:p>
    <w:p>
      <w:r>
        <w:rPr>
          <w:color w:val="555555"/>
          <w:sz w:val="18"/>
        </w:rPr>
        <w:t xml:space="preserve">Milch- und Fettgesetz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Ordnungswidrig handelt, wer vorsätzlich oder fahrlässig</w:t>
      </w:r>
    </w:p>
    <w:p>
      <w:pPr>
        <w:ind w:left="420"/>
      </w:pPr>
      <w:r>
        <w:t xml:space="preserve">1. der Lieferpflicht nach § 1 Abs. 1, § 2 Abs. 2 oder § 5 zuwiderhandelt,</w:t>
      </w:r>
    </w:p>
    <w:p>
      <w:pPr>
        <w:ind w:left="420"/>
      </w:pPr>
      <w:r>
        <w:t xml:space="preserve">2. der Bezugspflicht nach § 2 Abs. 1 oder der Abnahmepflicht nach § 1 Abs. 4 Satz 1 oder nach § 5 oder dem Verbot des § 1 Abs. 4 Satz 2 oder des § 2 Abs. 2 Satz 2 oder des § 2 Abs. 3 zuwiderhandelt,</w:t>
      </w:r>
    </w:p>
    <w:p>
      <w:pPr>
        <w:ind w:left="420"/>
      </w:pPr>
      <w:r>
        <w:t xml:space="preserve">3. als Milchhändler oder Großverbraucher ohne Erlaubnis der obersten Landesbehörde Milch oder Sahne (Rahm) im Sinne von § 1 Abs. 5 von einem Milcherzeuger bezieht,</w:t>
      </w:r>
    </w:p>
    <w:p>
      <w:pPr>
        <w:ind w:left="420"/>
      </w:pPr>
      <w:r>
        <w:t xml:space="preserve">4. den Fettgehalt von Trinkmilch entgegen der Bestimmung des § 11 Abs. 2 einstellt,</w:t>
      </w:r>
    </w:p>
    <w:p>
      <w:pPr>
        <w:ind w:left="420"/>
      </w:pPr>
      <w:r>
        <w:t xml:space="preserve">5. die Bestimmungen des § 16 Abs. 1 oder Abs. 3 Satz 2, die Buchführungspflicht nach § 25 verletzt oder einer Auflage nach § 16 Abs. 4 zuwiderhandelt,</w:t>
      </w:r>
    </w:p>
    <w:p>
      <w:r>
        <w:t xml:space="preserve">6.</w:t>
      </w:r>
    </w:p>
    <w:p>
      <w:pPr>
        <w:ind w:left="420"/>
      </w:pPr>
      <w:r>
        <w:t xml:space="preserve">7. die Auskünfte, zu denen er nach § 27 dieses Gesetzes und nach den §§ 1 bis 3 der Verordnung über Auskunftspflicht vom 13. Juli 1923 (Reichsgesetzbl. I S. 699, 723) verpflichtet ist, ganz oder teilweise verweigert oder nicht in der gesetzten Frist erteilt oder unrichtige oder unvollständige Angaben macht,</w:t>
      </w:r>
    </w:p>
    <w:p>
      <w:pPr>
        <w:ind w:left="420"/>
      </w:pPr>
      <w:r>
        <w:t xml:space="preserve">8. die Einsicht in Geschäftsbriefe, Geschäftsbücher oder sonstige Unterlagen oder die Besichtigung oder die Untersuchung von Betriebseinrichtungen oder -räumen den Beauftragten der auskunftsberechtigten Stellen (§ 27 Abs. 1 und 2) verweigert oder sie dabei behindert,</w:t>
      </w:r>
    </w:p>
    <w:p>
      <w:pPr>
        <w:ind w:left="420"/>
      </w:pPr>
      <w:r>
        <w:t xml:space="preserve">9. einer Rechtsverordnung nach den §§ 6, 10, 12 Abs. 9, §§ 13, 18 oder 24 Abs. 2 Nr. 3, soweit sie für einen bestimmten Tatbestand auf diese Bußgeldvorschrift verweist, oder einer auf Grund dieses Gesetzes ergangenen vollziehbaren Verfügung zuwiderhandelt.</w:t>
      </w:r>
    </w:p>
    <w:p>
      <w:r>
        <w:t xml:space="preserve">(2) Die Ordnungswidrigkeit kann mit einer Geldbuße bis zu fünfundzwanzigtausend Euro geahndet werden.</w:t>
      </w:r>
    </w:p>
    <w:p>
      <w:r>
        <w:t xml:space="preserve">(3) Gegenstände, auf die sich die Ordnungswidrigkeit bezieht, können eingezogen werden.</w:t>
      </w:r>
    </w:p>
    <w:p>
      <w:r>
        <w:t xml:space="preserve">(4) Verwaltungsbehörde im Sinne des § 36 Abs. 1 Nr. 1 des Gesetzes über Ordnungswidrigkeiten ist die vom Bundesministerium durch Rechtsverordnung bestimmte Stelle, soweit dieses Gesetz nicht von Landesbehörden ausgeführt wird.</w:t>
      </w:r>
    </w:p>
    <w:p>
      <w:r>
        <w:rPr>
          <w:color w:val="555555"/>
          <w:sz w:val="17"/>
        </w:rPr>
        <w:t xml:space="preserve">Zitiervorschlag: § 30 MilchFettG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https://recht.nulegal.eu/gesetze/MilchFettG/30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