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MilchFettG — Befugnisse der Länder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obersten Landesbehörden können die ihnen nach diesem Gesetz übertragenen Aufgaben auf andere Behörden übertragen.</w:t>
      </w:r>
    </w:p>
    <w:p>
      <w:r>
        <w:t xml:space="preserve">(2) Das Bundesministerium kann die ihm nach diesem Gesetz erteilten Ermächtigungen zum Erlaß von Rechtsverordnungen auf die obersten Landesbehörden übertragen. Diese Ermächtigung gilt nicht für Rechtsverordnungen auf Grund des § 20 Abs. 3.</w:t>
      </w:r>
    </w:p>
    <w:p>
      <w:r>
        <w:rPr>
          <w:color w:val="555555"/>
          <w:sz w:val="17"/>
        </w:rPr>
        <w:t xml:space="preserve">Zitiervorschlag: § 29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