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MilchFettG — Gütezeichen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kann für Milch und Milcherzeugnisse im Sinne des § 2 der Ersten Verordnung zur Ausführung des Milchgesetzes vom 15. Mai 1931 (Reichsgesetzbl. I S. 150) ein Gütezeichen einführen.</w:t>
      </w:r>
    </w:p>
    <w:p>
      <w:r>
        <w:t xml:space="preserve">(2) Das Bundesministerium bestimmt mit Zustimmung des Bundesrates durch Rechtsverordnung</w:t>
      </w:r>
    </w:p>
    <w:p>
      <w:pPr>
        <w:ind w:left="420"/>
      </w:pPr>
      <w:r>
        <w:t xml:space="preserve">1. die Gestaltung des Gütezeichens,</w:t>
      </w:r>
    </w:p>
    <w:p>
      <w:pPr>
        <w:ind w:left="420"/>
      </w:pPr>
      <w:r>
        <w:t xml:space="preserve">2. die Voraussetzungen für die Verleihung und die Entziehung des Gütezeichens,</w:t>
      </w:r>
    </w:p>
    <w:p>
      <w:pPr>
        <w:ind w:left="420"/>
      </w:pPr>
      <w:r>
        <w:t xml:space="preserve">3. die Bedingungen und Auflagen für die Benutzung des Gütezeichens,</w:t>
      </w:r>
    </w:p>
    <w:p>
      <w:pPr>
        <w:ind w:left="420"/>
      </w:pPr>
      <w:r>
        <w:t xml:space="preserve">4. die Stellen, die das Gütezeichen verleihen und entziehen sowie darüber wachen, daß die Voraussetzungen für die Führung des Gütezeichens erfüllt werden.</w:t>
      </w:r>
    </w:p>
    <w:p>
      <w:r>
        <w:rPr>
          <w:color w:val="555555"/>
          <w:sz w:val="17"/>
        </w:rPr>
        <w:t xml:space="preserve">Zitiervorschlag: § 24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