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MilchFettG — Anfechtungsverfahren und Beitreibung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Widerspruch und Anfechtungsklage gegen Verwaltungsakte, die auf Grund des § 12 und auf Grund einer auf § 12 beruhenden Rechtsverordnung erlassen werden, haben keine aufschiebende Wirkung.</w:t>
      </w:r>
    </w:p>
    <w:p>
      <w:r>
        <w:t xml:space="preserve">(2) Die Beitreibung von Abgaben (§§ 12, 12a), Umlagen (§ 22) und den nach der Verordnung M Nr. 2/57 über Milchauszahlungspreise vom 24. Juli 1957 (Bundesanzeiger Nr. 142 vom 27. Juli 1957) an Ausgleichskassen abzuführenden Ersparnisbeträgen kann nach den Bestimmungen der Abgabenordnung und ihren Durchführungsbestimmungen durchgeführt werden.</w:t>
      </w:r>
    </w:p>
    <w:p>
      <w:r>
        <w:rPr>
          <w:color w:val="555555"/>
          <w:sz w:val="17"/>
        </w:rPr>
        <w:t xml:space="preserve">Zitiervorschlag: § 23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