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MilchFettG — Molkerei-Absatzgebiete</w:t>
      </w:r>
    </w:p>
    <w:p>
      <w:r>
        <w:rPr>
          <w:color w:val="555555"/>
          <w:sz w:val="18"/>
        </w:rPr>
        <w:t xml:space="preserve">Milch- und Fettgesetz</w:t>
      </w:r>
    </w:p>
    <w:p>
      <w:r>
        <w:rPr>
          <w:color w:val="555555"/>
          <w:sz w:val="18"/>
        </w:rPr>
        <w:t xml:space="preserve">Stand: 10.06.2019 (konsolidierte Textfassung, kein amtliches Inkrafttretensdatum)</w:t>
      </w:r>
    </w:p>
    <w:p>
      <w:r>
        <w:t xml:space="preserve">(1) Milchhändler und Molkereien (Abnehmer) sind verpflichtet, Milch, entrahmte Milch, Buttermilch und geschlagene Buttermilch nur von Molkereien, die von der obersten Landesbehörde bestimmt werden, zu beziehen. Die oberste Landesbehörde kann den Abnehmern mehrere Molkereien zur Wahl stellen; die gewählte Molkerei gilt als die nach Satz 1 bestimmte.</w:t>
      </w:r>
    </w:p>
    <w:p>
      <w:r>
        <w:t xml:space="preserve">(2) Die Molkereien sind verpflichtet, Milch, entrahmte Milch, Buttermilch und geschlagene Buttermilch an die von der obersten Landesbehörde bestimmten Milchhändler oder Molkereien zu liefern. Die Lieferung an andere Milchhändler oder Molkereien ist unzulässig.</w:t>
      </w:r>
    </w:p>
    <w:p>
      <w:r>
        <w:t xml:space="preserve">(3) Die Belieferung von Einzelverbrauchern mit Milch, die in Gefäßen oder Behältnissen nach § 9 des Milchgesetzes vom 31. Juli 1930 (Reichsgesetzblatt I S. 421) verkaufsfertig abgefüllt wird, oder die Belieferung von Großverbrauchern unmittelbar durch eine Molkerei ist nur in deren Absatzgebiet zulässig. Die obersten Landesbehörden können aus Gründen der Versorgung bestimmen, daß Molkereien auch außerhalb ihres Absatzgebietes Großverbraucher beliefern. Das Absatzgebiet der Molkerei ist das Gebiet, das sich aus den festgesetzten Liefer- und Annahmebeziehungen zu den Milchhändlern ergibt.</w:t>
      </w:r>
    </w:p>
    <w:p>
      <w:r>
        <w:rPr>
          <w:color w:val="555555"/>
          <w:sz w:val="17"/>
        </w:rPr>
        <w:t xml:space="preserve">Zitiervorschlag: § 2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