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MilchFettG — Fettgehalt der Trinkmilch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obersten Landesbehörden werden ermächtigt, den Mindestfettgehalt der zum unmittelbaren Genuß bestimmten Milch (Trinkmilch) festzusetzen; er darf nicht weniger als 3,0 Gewichtsteile Fett in 100 Gewichtsteilen Trinkmilch betragen.</w:t>
      </w:r>
    </w:p>
    <w:p>
      <w:r>
        <w:t xml:space="preserve">(2) Die obersten Landesbehörden können zulassen, daß der Fettgehalt der Trinkmilch eingestellt wird. Die Einstellung darf nur von Molkereien im Sinne des § 29 der Ersten Verordnung zur Ausführung des Milchgesetzes vom 15. Mai 1931 (Reichsgesetzblatt I S. 150) vorgenommen werden.</w:t>
      </w:r>
    </w:p>
    <w:p>
      <w:r>
        <w:rPr>
          <w:color w:val="555555"/>
          <w:sz w:val="17"/>
        </w:rPr>
        <w:t xml:space="preserve">Zitiervorschlag: § 11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