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MilSeelsG</w:t>
      </w:r>
    </w:p>
    <w:p>
      <w:r>
        <w:rPr>
          <w:color w:val="555555"/>
          <w:sz w:val="18"/>
        </w:rPr>
        <w:t xml:space="preserve">Gesetz über die Militärseelsorge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gemäß seinem Artikel 28 in Kraft tritt, wird im Bundesgesetzblatt bekanntgegeben.</w:t>
      </w:r>
    </w:p>
    <w:p>
      <w:r>
        <w:rPr>
          <w:color w:val="555555"/>
          <w:sz w:val="17"/>
        </w:rPr>
        <w:t xml:space="preserve">Zitiervorschlag: Art 4 MilSeelsG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https://recht.nulegal.eu/gesetze/MilSeelsG/4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