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MilSeelsG</w:t>
      </w:r>
    </w:p>
    <w:p>
      <w:r>
        <w:rPr>
          <w:color w:val="555555"/>
          <w:sz w:val="18"/>
        </w:rPr>
        <w:t xml:space="preserve">Gesetz über die Militärseelsorge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katholischen Militärgeistlichen sind die beamtenrechtlichen Bestimmungen des in Artikel 1 genannten Vertrags sinngemäß anzuwenden.</w:t>
      </w:r>
    </w:p>
    <w:p>
      <w:r>
        <w:rPr>
          <w:color w:val="555555"/>
          <w:sz w:val="17"/>
        </w:rPr>
        <w:t xml:space="preserve">Zitiervorschlag: Art 2 MilSeelsG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https://recht.nulegal.eu/gesetze/MilSeelsG/2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