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MikrotAusbV — Zwischenprüfung</w:t>
      </w:r>
    </w:p>
    <w:p>
      <w:r>
        <w:rPr>
          <w:color w:val="555555"/>
          <w:sz w:val="18"/>
        </w:rPr>
        <w:t xml:space="preserve">Verordnung über die Berufsausbildung zum Mikrotechnologen/zur Mikrotechnologin</w:t>
      </w:r>
    </w:p>
    <w:p>
      <w:r>
        <w:rPr>
          <w:color w:val="555555"/>
          <w:sz w:val="18"/>
        </w:rPr>
        <w:t xml:space="preserve">Stand: 10.06.2019 (konsolidierte Textfassung, kein amtliches Inkrafttretensdatum)</w:t>
      </w:r>
    </w:p>
    <w:p>
      <w:r>
        <w:t xml:space="preserve">(1) Zur Ermittlung des Ausbildungsstandes ist eine Zwischenprüfung durchzuführen. Sie soll in der Mitte des zweiten Ausbildungsjahres stattfinden.</w:t>
      </w:r>
    </w:p>
    <w:p>
      <w:r>
        <w:t xml:space="preserve">(2) Die Zwischenprüfung erstreckt sich auf die in der Anlage für das erste Ausbildungsjahr aufgeführten Fertigkeiten und Kenntnisse sowie auf den im Berufsschulunterricht entsprechend dem Rahmenlehrplan zu vermittelnden Lehrstoff, soweit er für die Berufsausbildung wesentlich ist.</w:t>
      </w:r>
    </w:p>
    <w:p>
      <w:r>
        <w:t xml:space="preserve">(3) Der Prüfling soll im praktischen Teil der Prüfung in höchstens vier Stunden eine Arbeitsaufgabe sowie im schriftlichen Teil der Prüfung in insgesamt höchstens 90 Minuten die zur Arbeitsaufgabe gehörende Arbeitsplanung und Dokumentation bearbeiten. Hierfür kommen insbesondere folgende Gebiete in Betracht: Umrüsten, Prüfen und Instandhalten von Produktionseinrichtungen, insbesondere mechanische Einrichtungen, Einrichtungen der Vakuumtechnik, elektrische Einrichtungen, Einrichtungen zur Ver- und Entsorgung mit Medien; Verhalten im Reinraum; Handhaben von Gasen, Chemikalien und anderen Arbeitsstoffen; Produktionsorganisation, insbesondere Zusammenhänge von Technik, Arbeitsorganisation, Sicherheit und Gesundheitsschutz bei der Arbeit, Umweltschutz und Wirtschaftlichkeit.</w:t>
      </w:r>
    </w:p>
    <w:p>
      <w:r>
        <w:rPr>
          <w:color w:val="555555"/>
          <w:sz w:val="17"/>
        </w:rPr>
        <w:t xml:space="preserve">Zitiervorschlag: § 7 MikrotAusbV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https://recht.nulegal.eu/gesetze/MikrotAusbV/7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