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MikrotAusbV — Ausbildungsrahmenplan</w:t>
      </w:r>
    </w:p>
    <w:p>
      <w:r>
        <w:rPr>
          <w:color w:val="555555"/>
          <w:sz w:val="18"/>
        </w:rPr>
        <w:t xml:space="preserve">Verordnung über die Berufsausbildung zum Mikrotechnologen/zur Mikrotechnologin</w:t>
      </w:r>
    </w:p>
    <w:p>
      <w:r>
        <w:rPr>
          <w:color w:val="555555"/>
          <w:sz w:val="18"/>
        </w:rPr>
        <w:t xml:space="preserve">Stand: 10.06.2019 (konsolidierte Textfassung, kein amtliches Inkrafttretensdatum)</w:t>
      </w:r>
    </w:p>
    <w:p>
      <w:r>
        <w:t xml:space="preserve">(1) Die Fertigkeiten und Kenntnisse nach § 3 sollen unter Berücksichtigung der Schwerpunkte "Halbleitertechnik" sowie "Mikrosystemtechnik"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Fertigkeiten und Kenntnisse nach § 3 sind im Schwerpunkt Halbleitertechnik in einem der folgenden Einsatzgebiete anzuwenden und zu vertiefen:</w:t>
      </w:r>
    </w:p>
    <w:p>
      <w:pPr>
        <w:ind w:left="420"/>
      </w:pPr>
      <w:r>
        <w:t xml:space="preserve">1. diskrete Halbleiter,</w:t>
      </w:r>
    </w:p>
    <w:p>
      <w:pPr>
        <w:ind w:left="420"/>
      </w:pPr>
      <w:r>
        <w:t xml:space="preserve">2. Leistungshalbleiter,</w:t>
      </w:r>
    </w:p>
    <w:p>
      <w:pPr>
        <w:ind w:left="420"/>
      </w:pPr>
      <w:r>
        <w:t xml:space="preserve">3. integrierte Halbleiter,</w:t>
      </w:r>
    </w:p>
    <w:p>
      <w:pPr>
        <w:ind w:left="420"/>
      </w:pPr>
      <w:r>
        <w:t xml:space="preserve">4. kundenspezifische Schaltkreise (ASICS),</w:t>
      </w:r>
    </w:p>
    <w:p>
      <w:pPr>
        <w:ind w:left="420"/>
      </w:pPr>
      <w:r>
        <w:t xml:space="preserve">5. Optohalbleiter,</w:t>
      </w:r>
    </w:p>
    <w:p>
      <w:pPr>
        <w:ind w:left="420"/>
      </w:pPr>
      <w:r>
        <w:t xml:space="preserve">6. optoelektronische Anzeigesysteme.</w:t>
      </w:r>
    </w:p>
    <w:p>
      <w:r>
        <w:t xml:space="preserve">(3) Die Fertigkeiten und Kenntnisse nach § 3 sind im Schwerpunkt Mikrosystemtechnik in einem der folgenden Einsatzgebiete anzuwenden und zu vertiefen:</w:t>
      </w:r>
    </w:p>
    <w:p>
      <w:pPr>
        <w:ind w:left="420"/>
      </w:pPr>
      <w:r>
        <w:t xml:space="preserve">1. Dickschichttechnik,</w:t>
      </w:r>
    </w:p>
    <w:p>
      <w:pPr>
        <w:ind w:left="420"/>
      </w:pPr>
      <w:r>
        <w:t xml:space="preserve">2. Dünnschichttechnik,</w:t>
      </w:r>
    </w:p>
    <w:p>
      <w:pPr>
        <w:ind w:left="420"/>
      </w:pPr>
      <w:r>
        <w:t xml:space="preserve">3. Hybridtechnik,</w:t>
      </w:r>
    </w:p>
    <w:p>
      <w:pPr>
        <w:ind w:left="420"/>
      </w:pPr>
      <w:r>
        <w:t xml:space="preserve">4. Montagetechnik oberflächenmontierbarer Bauelemente (SMD),</w:t>
      </w:r>
    </w:p>
    <w:p>
      <w:pPr>
        <w:ind w:left="420"/>
      </w:pPr>
      <w:r>
        <w:t xml:space="preserve">5. lithografisches Tiefätzen,</w:t>
      </w:r>
    </w:p>
    <w:p>
      <w:pPr>
        <w:ind w:left="420"/>
      </w:pPr>
      <w:r>
        <w:t xml:space="preserve">6. Galvano- und Abformtechnik.</w:t>
      </w:r>
    </w:p>
    <w:p>
      <w:r>
        <w:t xml:space="preserve">(4) Das Einsatzgebiet wird vom Ausbildungsbetrieb festgelegt. Es können auch andere Einsatzgebiete zugrunde gelegt werden, wenn die zu vermittelnden Fertigkeiten und Kenntnisse in Breite und Tiefe gleichwertig sind.</w:t>
      </w:r>
    </w:p>
    <w:p>
      <w:r>
        <w:t xml:space="preserve">(5)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MikrotAusbV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https://recht.nulegal.eu/gesetze/MikrotAusbV/4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