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MighEV</w:t>
      </w:r>
    </w:p>
    <w:p>
      <w:r>
        <w:rPr>
          <w:color w:val="555555"/>
          <w:sz w:val="18"/>
        </w:rPr>
        <w:t xml:space="preserve">Migrationshintergrund-Erhebungsverordnung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281 Absatz 2 Satz 4 des Dritten Buches Sozialgesetzbuch – Arbeitsförderung –, der durch Artikel 1 Nummer 5 Buchstabe b des Gesetzes vom 22. Dezember 2008 (BGBl. I S. 2959) eingefügt worden ist, auch in Verbindung mit § 53 Absatz 7 Satz 1 des Zweiten Buches Sozialgesetzbuch – Grundsicherung für Arbeitsuchende –, der durch Artikel 1 Nummer 47 Buchstabe d des Gesetzes vom 20. Juli 2006 (BGBl. I S. 1706) eingefügt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MighEV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https://recht.nulegal.eu/gesetze/MighEV/eingangsformel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